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F" w:rsidRDefault="0030204F" w:rsidP="0030204F">
      <w:pPr>
        <w:pStyle w:val="ConsPlusNormal"/>
        <w:jc w:val="right"/>
        <w:outlineLvl w:val="0"/>
      </w:pPr>
      <w:r>
        <w:t>Утверждены</w:t>
      </w:r>
    </w:p>
    <w:p w:rsidR="0030204F" w:rsidRDefault="0030204F" w:rsidP="0030204F">
      <w:pPr>
        <w:pStyle w:val="ConsPlusNormal"/>
        <w:jc w:val="right"/>
      </w:pPr>
      <w:r>
        <w:t>постановлением Правительства</w:t>
      </w:r>
    </w:p>
    <w:p w:rsidR="0030204F" w:rsidRDefault="0030204F" w:rsidP="0030204F">
      <w:pPr>
        <w:pStyle w:val="ConsPlusNormal"/>
        <w:jc w:val="right"/>
      </w:pPr>
      <w:r>
        <w:t>Российской Федерации</w:t>
      </w:r>
    </w:p>
    <w:p w:rsidR="0030204F" w:rsidRDefault="0030204F" w:rsidP="0030204F">
      <w:pPr>
        <w:pStyle w:val="ConsPlusNormal"/>
        <w:jc w:val="right"/>
      </w:pPr>
      <w:r>
        <w:t>от 31 марта 2020 г. N 384</w:t>
      </w:r>
    </w:p>
    <w:p w:rsidR="0030204F" w:rsidRDefault="0030204F" w:rsidP="0030204F">
      <w:pPr>
        <w:pStyle w:val="ConsPlusNormal"/>
        <w:jc w:val="both"/>
      </w:pPr>
    </w:p>
    <w:p w:rsidR="0030204F" w:rsidRDefault="0030204F" w:rsidP="0030204F">
      <w:pPr>
        <w:pStyle w:val="ConsPlusTitle"/>
        <w:jc w:val="center"/>
      </w:pPr>
      <w:bookmarkStart w:id="0" w:name="Par35"/>
      <w:bookmarkEnd w:id="0"/>
      <w:r>
        <w:t>ОСНОВНЫЕ ТРЕБОВАНИЯ</w:t>
      </w:r>
    </w:p>
    <w:p w:rsidR="0030204F" w:rsidRDefault="0030204F" w:rsidP="0030204F">
      <w:pPr>
        <w:pStyle w:val="ConsPlusTitle"/>
        <w:jc w:val="center"/>
      </w:pPr>
      <w:r>
        <w:t>К ПОРЯДКУ НАЗНАЧЕНИЯ И ОСУЩЕСТВЛЕНИЯ ЕЖЕМЕСЯЧНОЙ ДЕНЕЖНОЙ</w:t>
      </w:r>
    </w:p>
    <w:p w:rsidR="0030204F" w:rsidRDefault="0030204F" w:rsidP="0030204F">
      <w:pPr>
        <w:pStyle w:val="ConsPlusTitle"/>
        <w:jc w:val="center"/>
      </w:pPr>
      <w:r>
        <w:t>ВЫПЛАТЫ НА РЕБЕНКА В ВОЗРАСТЕ ОТ 3 ДО 7 ЛЕТ ВКЛЮЧИТЕЛЬНО</w:t>
      </w:r>
    </w:p>
    <w:p w:rsidR="0030204F" w:rsidRDefault="0030204F" w:rsidP="0030204F">
      <w:pPr>
        <w:pStyle w:val="ConsPlusNormal"/>
        <w:jc w:val="both"/>
      </w:pPr>
    </w:p>
    <w:p w:rsidR="0030204F" w:rsidRDefault="0030204F" w:rsidP="0030204F">
      <w:pPr>
        <w:pStyle w:val="ConsPlusNormal"/>
        <w:ind w:firstLine="540"/>
        <w:jc w:val="both"/>
      </w:pPr>
      <w:r>
        <w:t xml:space="preserve"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</w:t>
      </w:r>
      <w:hyperlink r:id="rId4" w:history="1">
        <w:r>
          <w:rPr>
            <w:color w:val="0000FF"/>
          </w:rPr>
          <w:t>выплаты</w:t>
        </w:r>
      </w:hyperlink>
      <w:r>
        <w:t xml:space="preserve">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2. 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6. Ежемесячная выплата предоставляется в 2020 году за прошедший период начиная со дня достижения ребенком возраста 3 лет, если обращение за ней последовало не позднее 31 декабря 2020 г.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Начиная с 2021 года </w:t>
      </w:r>
      <w:proofErr w:type="gramStart"/>
      <w:r>
        <w:t>ежемесячная</w:t>
      </w:r>
      <w:proofErr w:type="gramEnd"/>
      <w:r>
        <w:t xml:space="preserve"> выплата осуществляется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а) лично;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б) через многофункциональный центр предоставления государственных и муниципальных услуг;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в) в электронном виде с использованием федеральной государственной информационной системы </w:t>
      </w:r>
      <w:r>
        <w:lastRenderedPageBreak/>
        <w:t>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г) посредством почтовой связи способом, позволяющим подтвердить факт и дату отправления.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10. Заявление подается в соответствии с типовой </w:t>
      </w:r>
      <w:hyperlink w:anchor="Par189" w:tooltip="ТИПОВАЯ ФОРМА ЗАЯВЛЕНИЯ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12. Документы (сведения), необходимые для назначения ежемесячной выплаты, примерный </w:t>
      </w:r>
      <w:hyperlink w:anchor="Par103" w:tooltip="ПРИМЕРНЫЙ ПЕРЕЧЕНЬ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13. Сведения не </w:t>
      </w:r>
      <w:proofErr w:type="spellStart"/>
      <w:r>
        <w:t>истребуются</w:t>
      </w:r>
      <w:proofErr w:type="spellEnd"/>
      <w: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16. Решение об отказе в назначении ежемесячной выплаты принимается в следующих случаях: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смерть ребенка;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наличие в заявлении недостоверных или неполных данных;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иные случаи, предусмотренные нормативными правовыми актами субъекта Российской Федерации.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>
        <w:t>непоступления</w:t>
      </w:r>
      <w:proofErr w:type="spellEnd"/>
      <w: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21. При расчете среднедушевого дохода семьи учитываются следующие виды доходов семьи, полученные в денежной форме: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г) алименты;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и) дивиденды, проценты и иные доходы, полученные по операциям с ценными бумагами;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к) проценты, полученные по вкладам в кредитных учреждениях;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л) доходы от предпринимательской деятельности и от осуществления частной практики;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м) доходы от продажи, аренды имущества;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22.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 на число членов семьи.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25. При расчете среднедушевого дохода семьи не учитываются: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а) предусмотренные настоящими основными требованиями ежемесячные выплаты, произведенные за прошлые периоды;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 xml:space="preserve">б) ежемесячные выплаты,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 на ребенка, в отношении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0204F" w:rsidRDefault="0030204F" w:rsidP="0030204F">
      <w:pPr>
        <w:pStyle w:val="ConsPlusNormal"/>
        <w:spacing w:before="240"/>
        <w:ind w:firstLine="540"/>
        <w:jc w:val="both"/>
      </w:pPr>
      <w:r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9F10CA" w:rsidRDefault="009F10CA">
      <w:bookmarkStart w:id="1" w:name="_GoBack"/>
      <w:bookmarkEnd w:id="1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E"/>
    <w:rsid w:val="0030204F"/>
    <w:rsid w:val="00567E83"/>
    <w:rsid w:val="009F10CA"/>
    <w:rsid w:val="00B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32E4-E242-4F0C-89F6-732B855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7&amp;date=27.04.2020" TargetMode="External"/><Relationship Id="rId5" Type="http://schemas.openxmlformats.org/officeDocument/2006/relationships/hyperlink" Target="https://login.consultant.ru/link/?req=doc&amp;base=RZR&amp;n=327920&amp;date=27.04.2020" TargetMode="External"/><Relationship Id="rId4" Type="http://schemas.openxmlformats.org/officeDocument/2006/relationships/hyperlink" Target="https://login.consultant.ru/link/?req=doc&amp;base=RZR&amp;n=348134&amp;date=27.04.2020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2020-05-07T11:50:00Z</dcterms:created>
  <dcterms:modified xsi:type="dcterms:W3CDTF">2020-05-07T11:50:00Z</dcterms:modified>
</cp:coreProperties>
</file>