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ED" w:rsidRPr="008A1DED" w:rsidRDefault="008A1DED" w:rsidP="008A1DE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8A1DE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7375" cy="712470"/>
            <wp:effectExtent l="19050" t="0" r="3175" b="0"/>
            <wp:docPr id="1" name="Рисунок 1" descr="gerb_ra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a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DED" w:rsidRPr="008A1DED" w:rsidRDefault="008A1DED" w:rsidP="008A1DED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8A1DED">
        <w:rPr>
          <w:rFonts w:ascii="Times New Roman" w:hAnsi="Times New Roman" w:cs="Times New Roman"/>
          <w:sz w:val="40"/>
        </w:rPr>
        <w:t>Контрольно-счетная палата</w:t>
      </w:r>
    </w:p>
    <w:p w:rsidR="008A1DED" w:rsidRPr="008A1DED" w:rsidRDefault="008A1DED" w:rsidP="008A1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DED">
        <w:rPr>
          <w:rFonts w:ascii="Times New Roman" w:hAnsi="Times New Roman" w:cs="Times New Roman"/>
          <w:sz w:val="28"/>
          <w:szCs w:val="28"/>
        </w:rPr>
        <w:t>Ярославского муниципального района</w:t>
      </w:r>
    </w:p>
    <w:p w:rsidR="008A1DED" w:rsidRPr="008A1DED" w:rsidRDefault="008A1DED" w:rsidP="008A1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DED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8A1DED" w:rsidRPr="008A1DED" w:rsidRDefault="008A1DED" w:rsidP="008A1DED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0"/>
        </w:rPr>
      </w:pPr>
    </w:p>
    <w:p w:rsidR="008A1DED" w:rsidRPr="008A1DED" w:rsidRDefault="008A1DED" w:rsidP="008A1DED">
      <w:pPr>
        <w:jc w:val="center"/>
        <w:rPr>
          <w:rFonts w:ascii="Times New Roman" w:hAnsi="Times New Roman" w:cs="Times New Roman"/>
          <w:sz w:val="40"/>
        </w:rPr>
      </w:pPr>
      <w:r w:rsidRPr="008A1DED">
        <w:rPr>
          <w:rFonts w:ascii="Times New Roman" w:hAnsi="Times New Roman" w:cs="Times New Roman"/>
          <w:sz w:val="40"/>
        </w:rPr>
        <w:t>ПРИКАЗ</w:t>
      </w:r>
    </w:p>
    <w:p w:rsidR="008A1DED" w:rsidRPr="008A1DED" w:rsidRDefault="008A1DED" w:rsidP="008A1DED">
      <w:pP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№ 4</w:t>
      </w:r>
    </w:p>
    <w:p w:rsidR="008A1DED" w:rsidRDefault="008A1DED" w:rsidP="008A1DED">
      <w:pPr>
        <w:rPr>
          <w:sz w:val="28"/>
          <w:szCs w:val="28"/>
        </w:rPr>
      </w:pPr>
      <w:r w:rsidRPr="008A1DED">
        <w:rPr>
          <w:rFonts w:ascii="Times New Roman" w:hAnsi="Times New Roman" w:cs="Times New Roman"/>
          <w:sz w:val="28"/>
          <w:szCs w:val="28"/>
        </w:rPr>
        <w:t>г. Ярославль</w:t>
      </w:r>
      <w:r w:rsidRPr="008A1DED">
        <w:rPr>
          <w:rFonts w:ascii="Times New Roman" w:hAnsi="Times New Roman" w:cs="Times New Roman"/>
          <w:sz w:val="28"/>
          <w:szCs w:val="28"/>
        </w:rPr>
        <w:tab/>
      </w:r>
      <w:r w:rsidRPr="008A1DED">
        <w:rPr>
          <w:rFonts w:ascii="Times New Roman" w:hAnsi="Times New Roman" w:cs="Times New Roman"/>
          <w:sz w:val="28"/>
          <w:szCs w:val="28"/>
        </w:rPr>
        <w:tab/>
      </w:r>
      <w:r w:rsidRPr="008A1DED">
        <w:rPr>
          <w:rFonts w:ascii="Times New Roman" w:hAnsi="Times New Roman" w:cs="Times New Roman"/>
          <w:sz w:val="28"/>
          <w:szCs w:val="28"/>
        </w:rPr>
        <w:tab/>
      </w:r>
      <w:r w:rsidRPr="008A1DED">
        <w:rPr>
          <w:rFonts w:ascii="Times New Roman" w:hAnsi="Times New Roman" w:cs="Times New Roman"/>
          <w:sz w:val="28"/>
          <w:szCs w:val="28"/>
        </w:rPr>
        <w:tab/>
      </w:r>
      <w:r w:rsidRPr="008A1DED">
        <w:rPr>
          <w:rFonts w:ascii="Times New Roman" w:hAnsi="Times New Roman" w:cs="Times New Roman"/>
          <w:sz w:val="28"/>
          <w:szCs w:val="28"/>
        </w:rPr>
        <w:tab/>
      </w:r>
      <w:r w:rsidRPr="008A1DED">
        <w:rPr>
          <w:rFonts w:ascii="Times New Roman" w:hAnsi="Times New Roman" w:cs="Times New Roman"/>
          <w:sz w:val="28"/>
          <w:szCs w:val="28"/>
        </w:rPr>
        <w:tab/>
      </w:r>
      <w:r w:rsidRPr="008A1DE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31</w:t>
      </w:r>
      <w:r w:rsidRPr="008A1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2016</w:t>
      </w:r>
      <w:r w:rsidRPr="008A1DE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C428E" w:rsidRPr="00AC428E" w:rsidRDefault="00AC428E" w:rsidP="00AC4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9445DB" w:rsidRP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DB">
        <w:rPr>
          <w:rFonts w:ascii="Times New Roman" w:hAnsi="Times New Roman" w:cs="Times New Roman"/>
          <w:b/>
          <w:sz w:val="24"/>
          <w:szCs w:val="24"/>
        </w:rPr>
        <w:t xml:space="preserve">Об утверждении требований к закупаемым </w:t>
      </w:r>
    </w:p>
    <w:p w:rsid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палатой </w:t>
      </w:r>
    </w:p>
    <w:p w:rsid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DB">
        <w:rPr>
          <w:rFonts w:ascii="Times New Roman" w:hAnsi="Times New Roman" w:cs="Times New Roman"/>
          <w:b/>
          <w:sz w:val="24"/>
          <w:szCs w:val="24"/>
        </w:rPr>
        <w:t>Ярославского муниципального района</w:t>
      </w:r>
    </w:p>
    <w:p w:rsidR="009445DB" w:rsidRP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Ярославской области</w:t>
      </w:r>
    </w:p>
    <w:p w:rsidR="009445DB" w:rsidRP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DB">
        <w:rPr>
          <w:rFonts w:ascii="Times New Roman" w:hAnsi="Times New Roman" w:cs="Times New Roman"/>
          <w:b/>
          <w:sz w:val="24"/>
          <w:szCs w:val="24"/>
        </w:rPr>
        <w:t xml:space="preserve">отдельным видам товаров, работ, услуг </w:t>
      </w:r>
    </w:p>
    <w:p w:rsid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DB">
        <w:rPr>
          <w:rFonts w:ascii="Times New Roman" w:hAnsi="Times New Roman" w:cs="Times New Roman"/>
          <w:b/>
          <w:sz w:val="24"/>
          <w:szCs w:val="24"/>
        </w:rPr>
        <w:t>(в том числе предельные цены товаров, работ, услуг)</w:t>
      </w:r>
    </w:p>
    <w:p w:rsidR="009445DB" w:rsidRPr="009445DB" w:rsidRDefault="009445DB" w:rsidP="009445DB">
      <w:pPr>
        <w:spacing w:after="0" w:line="240" w:lineRule="auto"/>
        <w:ind w:right="40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5DB" w:rsidRPr="00750668" w:rsidRDefault="009445DB" w:rsidP="00975687">
      <w:pPr>
        <w:pStyle w:val="ConsNormal"/>
        <w:widowControl/>
        <w:tabs>
          <w:tab w:val="left" w:pos="567"/>
        </w:tabs>
        <w:ind w:right="-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668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частью 5 статьи 19 </w:t>
      </w:r>
      <w:r w:rsidRPr="00750668">
        <w:rPr>
          <w:rStyle w:val="FontStyle23"/>
        </w:rPr>
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Администрации Ярославского муниципального района от 21.03.2016 № 449 «</w:t>
      </w:r>
      <w:r w:rsidRPr="00750668">
        <w:rPr>
          <w:rFonts w:ascii="Times New Roman" w:hAnsi="Times New Roman" w:cs="Times New Roman"/>
          <w:sz w:val="28"/>
          <w:szCs w:val="28"/>
        </w:rPr>
        <w:t>Об утверждении правил определения требований к закупаемым муниципальными органами Ярославского муниципального района, подведомственными указанным органам муниципальными казенными учреждениями и муниципальными бюджетными учреждениями отдельным видам товаров, работ, услуг (в том числе предельные цены товаров, работ, услуг)</w:t>
      </w:r>
      <w:r>
        <w:rPr>
          <w:bCs/>
        </w:rPr>
        <w:t>»</w:t>
      </w:r>
    </w:p>
    <w:p w:rsidR="009445DB" w:rsidRPr="009445DB" w:rsidRDefault="009445DB" w:rsidP="0030216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445DB">
        <w:rPr>
          <w:rFonts w:ascii="Times New Roman" w:hAnsi="Times New Roman" w:cs="Times New Roman"/>
          <w:sz w:val="28"/>
          <w:szCs w:val="28"/>
        </w:rPr>
        <w:t>ПРИКАЗЫВАЮ:</w:t>
      </w:r>
    </w:p>
    <w:p w:rsidR="0030216F" w:rsidRPr="0030216F" w:rsidRDefault="0030216F" w:rsidP="0030216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16F">
        <w:rPr>
          <w:rFonts w:ascii="Times New Roman" w:hAnsi="Times New Roman" w:cs="Times New Roman"/>
          <w:sz w:val="28"/>
          <w:szCs w:val="28"/>
        </w:rPr>
        <w:t xml:space="preserve">Утвердить требования к закупаемым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палатой Ярославского </w:t>
      </w:r>
      <w:r w:rsidRPr="0030216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75687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30216F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работ, услуг (в том числе предельные цены товаров, работ, услуг) согласно прилагаемому перечню отдельных видов товаров, работ, услуг, их потребительских свойств (в том числе качество) и иных характеристик (в том числе предельные цены товаров, работ, услуг) (</w:t>
      </w:r>
      <w:r>
        <w:rPr>
          <w:rFonts w:ascii="Times New Roman" w:hAnsi="Times New Roman" w:cs="Times New Roman"/>
          <w:sz w:val="28"/>
          <w:szCs w:val="28"/>
        </w:rPr>
        <w:t>Приложение № 1 к приказу</w:t>
      </w:r>
      <w:r w:rsidRPr="0030216F">
        <w:rPr>
          <w:rFonts w:ascii="Times New Roman" w:hAnsi="Times New Roman" w:cs="Times New Roman"/>
          <w:sz w:val="28"/>
          <w:szCs w:val="28"/>
        </w:rPr>
        <w:t>).</w:t>
      </w:r>
    </w:p>
    <w:p w:rsidR="00975687" w:rsidRPr="00975687" w:rsidRDefault="00975687" w:rsidP="0097568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75687">
        <w:rPr>
          <w:rFonts w:ascii="Times New Roman" w:hAnsi="Times New Roman" w:cs="Times New Roman"/>
          <w:sz w:val="28"/>
          <w:szCs w:val="28"/>
        </w:rPr>
        <w:t xml:space="preserve">Учитывать утвержденный Перечень при планировании                                    и осуществлении закупок товаров, работ, услуг для обеспечения нужд </w:t>
      </w:r>
      <w:r w:rsidR="00D1200C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Ярославского </w:t>
      </w:r>
      <w:r w:rsidRPr="0030216F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</w:p>
    <w:p w:rsidR="00975687" w:rsidRDefault="00975687" w:rsidP="0097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75687">
        <w:rPr>
          <w:rFonts w:ascii="Times New Roman" w:hAnsi="Times New Roman" w:cs="Times New Roman"/>
          <w:sz w:val="28"/>
          <w:szCs w:val="28"/>
        </w:rPr>
        <w:t xml:space="preserve"> Пересматривать перечень не менее одного раза в год в период                             с 01 января по 01 апреля текущего года.</w:t>
      </w:r>
    </w:p>
    <w:p w:rsidR="008A1DED" w:rsidRDefault="008A1DED" w:rsidP="0097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97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5687" w:rsidRPr="00975687" w:rsidRDefault="00975687" w:rsidP="0097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975687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975687" w:rsidRPr="00975687" w:rsidRDefault="00975687" w:rsidP="0097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75687">
        <w:rPr>
          <w:rFonts w:ascii="Times New Roman" w:hAnsi="Times New Roman" w:cs="Times New Roman"/>
          <w:sz w:val="28"/>
          <w:szCs w:val="28"/>
        </w:rPr>
        <w:t>Приказ вступает в силу со дня его подписания.</w:t>
      </w:r>
    </w:p>
    <w:p w:rsidR="000D11D9" w:rsidRPr="00206BB4" w:rsidRDefault="000D11D9" w:rsidP="009756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/>
      </w:tblPr>
      <w:tblGrid>
        <w:gridCol w:w="4643"/>
        <w:gridCol w:w="4963"/>
      </w:tblGrid>
      <w:tr w:rsidR="000D11D9" w:rsidRPr="000D11D9" w:rsidTr="002C7B2B">
        <w:tc>
          <w:tcPr>
            <w:tcW w:w="4643" w:type="dxa"/>
          </w:tcPr>
          <w:p w:rsidR="000D11D9" w:rsidRDefault="000D11D9" w:rsidP="0094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11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076377" w:rsidRDefault="00076377" w:rsidP="0030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Контрольно-счетной палаты </w:t>
            </w:r>
            <w:r w:rsidR="003021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Ярославского муниципального</w:t>
            </w:r>
          </w:p>
          <w:p w:rsidR="0030216F" w:rsidRPr="000D11D9" w:rsidRDefault="002C7B2B" w:rsidP="0030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 w:rsidR="003021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айона Ярославской области</w:t>
            </w:r>
          </w:p>
        </w:tc>
        <w:tc>
          <w:tcPr>
            <w:tcW w:w="4963" w:type="dxa"/>
          </w:tcPr>
          <w:p w:rsidR="00076377" w:rsidRDefault="00076377" w:rsidP="0094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76377" w:rsidRDefault="00076377" w:rsidP="0094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D11D9" w:rsidRDefault="000D11D9" w:rsidP="0094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16F" w:rsidRDefault="00815053" w:rsidP="0094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3021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О.С.Исадичева</w:t>
            </w:r>
          </w:p>
          <w:p w:rsidR="00645594" w:rsidRPr="000D11D9" w:rsidRDefault="00645594" w:rsidP="0094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D" w:rsidRDefault="008A1DED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594" w:rsidRPr="00645594" w:rsidRDefault="00645594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594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     </w:t>
      </w:r>
    </w:p>
    <w:p w:rsidR="00645594" w:rsidRPr="00645594" w:rsidRDefault="00645594" w:rsidP="0064559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>Заместитель начальника управления –</w:t>
      </w: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 xml:space="preserve">начальник бюджетного отдела управления </w:t>
      </w: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>финансов и социально-экономического</w:t>
      </w: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>развития Администрации ЯМР                                                        И.А. Карханова</w:t>
      </w: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bCs/>
          <w:szCs w:val="28"/>
        </w:rPr>
      </w:pP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>Начальник отдела бухгалтерского учета</w:t>
      </w: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 xml:space="preserve"> и отчетности управления </w:t>
      </w:r>
    </w:p>
    <w:p w:rsidR="00645594" w:rsidRPr="00645594" w:rsidRDefault="00645594" w:rsidP="00645594">
      <w:pPr>
        <w:pStyle w:val="ac"/>
        <w:spacing w:after="0"/>
        <w:ind w:firstLine="0"/>
        <w:rPr>
          <w:rFonts w:cs="Times New Roman"/>
          <w:bCs/>
          <w:szCs w:val="28"/>
        </w:rPr>
      </w:pPr>
      <w:r w:rsidRPr="00645594">
        <w:rPr>
          <w:rFonts w:cs="Times New Roman"/>
          <w:bCs/>
          <w:szCs w:val="28"/>
        </w:rPr>
        <w:t>финансов и социально-экономического</w:t>
      </w: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45594">
        <w:rPr>
          <w:rFonts w:ascii="Times New Roman" w:hAnsi="Times New Roman" w:cs="Times New Roman"/>
          <w:bCs/>
          <w:sz w:val="28"/>
          <w:szCs w:val="28"/>
        </w:rPr>
        <w:t>развития Администрации ЯМР                                                         И.А. Турецкова</w:t>
      </w: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iCs/>
          <w:color w:val="052635"/>
          <w:sz w:val="28"/>
          <w:szCs w:val="28"/>
        </w:rPr>
      </w:pPr>
      <w:r w:rsidRPr="00645594">
        <w:rPr>
          <w:rFonts w:ascii="Times New Roman" w:hAnsi="Times New Roman" w:cs="Times New Roman"/>
          <w:iCs/>
          <w:color w:val="052635"/>
          <w:sz w:val="28"/>
          <w:szCs w:val="28"/>
        </w:rPr>
        <w:t xml:space="preserve">Консультант-юрист </w:t>
      </w: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iCs/>
          <w:color w:val="052635"/>
          <w:sz w:val="28"/>
          <w:szCs w:val="28"/>
        </w:rPr>
      </w:pPr>
      <w:r w:rsidRPr="00645594">
        <w:rPr>
          <w:rFonts w:ascii="Times New Roman" w:hAnsi="Times New Roman" w:cs="Times New Roman"/>
          <w:iCs/>
          <w:color w:val="052635"/>
          <w:sz w:val="28"/>
          <w:szCs w:val="28"/>
        </w:rPr>
        <w:t>управления финансов</w:t>
      </w:r>
    </w:p>
    <w:p w:rsidR="00645594" w:rsidRPr="00645594" w:rsidRDefault="00645594" w:rsidP="00645594">
      <w:pPr>
        <w:spacing w:after="0" w:line="240" w:lineRule="auto"/>
        <w:rPr>
          <w:rFonts w:ascii="Times New Roman" w:hAnsi="Times New Roman" w:cs="Times New Roman"/>
          <w:iCs/>
          <w:color w:val="052635"/>
          <w:sz w:val="28"/>
          <w:szCs w:val="28"/>
        </w:rPr>
      </w:pPr>
      <w:r w:rsidRPr="00645594">
        <w:rPr>
          <w:rFonts w:ascii="Times New Roman" w:hAnsi="Times New Roman" w:cs="Times New Roman"/>
          <w:iCs/>
          <w:color w:val="052635"/>
          <w:sz w:val="28"/>
          <w:szCs w:val="28"/>
        </w:rPr>
        <w:t xml:space="preserve"> и социально-экономического развития                                           А.Э. Алиева</w:t>
      </w:r>
    </w:p>
    <w:p w:rsidR="00645594" w:rsidRPr="008223D8" w:rsidRDefault="00645594" w:rsidP="00645594">
      <w:pPr>
        <w:spacing w:after="0" w:line="240" w:lineRule="auto"/>
        <w:rPr>
          <w:bCs/>
          <w:sz w:val="28"/>
          <w:szCs w:val="28"/>
        </w:rPr>
        <w:sectPr w:rsidR="00645594" w:rsidRPr="008223D8">
          <w:pgSz w:w="11906" w:h="16838"/>
          <w:pgMar w:top="1135" w:right="748" w:bottom="851" w:left="1440" w:header="709" w:footer="709" w:gutter="0"/>
          <w:cols w:space="720"/>
        </w:sectPr>
      </w:pPr>
      <w:r>
        <w:rPr>
          <w:bCs/>
          <w:sz w:val="28"/>
          <w:szCs w:val="28"/>
        </w:rPr>
        <w:t xml:space="preserve">                          </w:t>
      </w:r>
    </w:p>
    <w:p w:rsidR="00BA6450" w:rsidRDefault="00BA6450" w:rsidP="009445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60791" w:rsidRPr="00FC6723" w:rsidRDefault="002C7B2B" w:rsidP="009C774B">
      <w:pPr>
        <w:pStyle w:val="ConsPlusNormal"/>
        <w:ind w:right="-739"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60791" w:rsidRPr="00FC6723">
        <w:rPr>
          <w:rFonts w:ascii="Times New Roman" w:hAnsi="Times New Roman" w:cs="Times New Roman"/>
          <w:sz w:val="24"/>
          <w:szCs w:val="24"/>
        </w:rPr>
        <w:t>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C774B" w:rsidRPr="00BA6450" w:rsidRDefault="009C774B" w:rsidP="009C774B">
      <w:pPr>
        <w:pStyle w:val="ConsPlusNormal"/>
        <w:ind w:firstLine="11482"/>
        <w:rPr>
          <w:rFonts w:ascii="Times New Roman" w:hAnsi="Times New Roman" w:cs="Times New Roman"/>
          <w:sz w:val="24"/>
          <w:szCs w:val="24"/>
        </w:rPr>
      </w:pPr>
      <w:r w:rsidRPr="00BA6450">
        <w:rPr>
          <w:rFonts w:ascii="Times New Roman" w:hAnsi="Times New Roman" w:cs="Times New Roman"/>
          <w:sz w:val="24"/>
          <w:szCs w:val="24"/>
        </w:rPr>
        <w:t xml:space="preserve">к приказу председателя </w:t>
      </w:r>
    </w:p>
    <w:p w:rsidR="009C774B" w:rsidRPr="00BA6450" w:rsidRDefault="009C774B" w:rsidP="009C774B">
      <w:pPr>
        <w:pStyle w:val="ConsPlusNormal"/>
        <w:ind w:firstLine="11482"/>
        <w:rPr>
          <w:rFonts w:ascii="Times New Roman" w:hAnsi="Times New Roman" w:cs="Times New Roman"/>
          <w:sz w:val="24"/>
          <w:szCs w:val="24"/>
        </w:rPr>
      </w:pPr>
      <w:r w:rsidRPr="00BA6450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8E726B" w:rsidRDefault="00645594" w:rsidP="009C774B">
      <w:pPr>
        <w:pStyle w:val="ConsPlusNormal"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Ярославского муниципального </w:t>
      </w:r>
    </w:p>
    <w:p w:rsidR="009C774B" w:rsidRDefault="008E726B" w:rsidP="009C774B">
      <w:pPr>
        <w:pStyle w:val="ConsPlusNormal"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45594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774B" w:rsidRPr="00BA6450">
        <w:rPr>
          <w:rFonts w:ascii="Times New Roman" w:hAnsi="Times New Roman" w:cs="Times New Roman"/>
          <w:sz w:val="24"/>
          <w:szCs w:val="24"/>
        </w:rPr>
        <w:t>Ярославской области</w:t>
      </w:r>
    </w:p>
    <w:p w:rsidR="009C774B" w:rsidRPr="00BA6450" w:rsidRDefault="009C774B" w:rsidP="009C774B">
      <w:pPr>
        <w:pStyle w:val="ConsPlusNormal"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   »_______ 2016 г. №___</w:t>
      </w:r>
    </w:p>
    <w:p w:rsidR="003F4082" w:rsidRDefault="003F4082" w:rsidP="009C774B">
      <w:pPr>
        <w:pStyle w:val="ConsPlusNormal"/>
        <w:ind w:right="-739" w:firstLine="10206"/>
        <w:rPr>
          <w:rFonts w:ascii="Times New Roman" w:hAnsi="Times New Roman" w:cs="Times New Roman"/>
        </w:rPr>
      </w:pPr>
    </w:p>
    <w:p w:rsidR="002C7B2B" w:rsidRPr="00EB4198" w:rsidRDefault="002C7B2B" w:rsidP="002C7B2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9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C7B2B" w:rsidRDefault="002C7B2B" w:rsidP="002C7B2B">
      <w:pPr>
        <w:pStyle w:val="ConsPlusNormal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B419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отдельных видов товаров, работ, услуг, их потребительские свойства (в том числе качество) и иные характеристики,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EB419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 также значения таких свойств и характеристик (в том числе предельные цены товаров, работ, услуг)</w:t>
      </w:r>
    </w:p>
    <w:p w:rsidR="002C7B2B" w:rsidRPr="00EB4198" w:rsidRDefault="002C7B2B" w:rsidP="002C7B2B">
      <w:pPr>
        <w:pStyle w:val="ConsPlusNormal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6"/>
        <w:gridCol w:w="984"/>
        <w:gridCol w:w="20"/>
        <w:gridCol w:w="1397"/>
        <w:gridCol w:w="162"/>
        <w:gridCol w:w="1256"/>
        <w:gridCol w:w="161"/>
        <w:gridCol w:w="547"/>
        <w:gridCol w:w="871"/>
        <w:gridCol w:w="54"/>
        <w:gridCol w:w="4340"/>
        <w:gridCol w:w="4536"/>
      </w:tblGrid>
      <w:tr w:rsidR="002C7B2B" w:rsidRPr="002C7B2B" w:rsidTr="002C7B2B"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9" w:history="1">
              <w:r w:rsidRPr="002C7B2B">
                <w:rPr>
                  <w:rFonts w:ascii="Times New Roman" w:hAnsi="Times New Roman" w:cs="Times New Roman"/>
                  <w:szCs w:val="22"/>
                </w:rPr>
                <w:t>ОКПД</w:t>
              </w:r>
            </w:hyperlink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1927" w:type="dxa"/>
            <w:gridSpan w:val="8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2C7B2B" w:rsidRPr="002C7B2B" w:rsidTr="006F6C7E">
        <w:tc>
          <w:tcPr>
            <w:tcW w:w="556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3"/>
            <w:vMerge w:val="restart"/>
          </w:tcPr>
          <w:p w:rsidR="002C7B2B" w:rsidRPr="00645594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5594">
              <w:rPr>
                <w:rFonts w:ascii="Times New Roman" w:hAnsi="Times New Roman" w:cs="Times New Roman"/>
                <w:sz w:val="20"/>
              </w:rPr>
              <w:t>характеристика</w:t>
            </w:r>
          </w:p>
        </w:tc>
        <w:tc>
          <w:tcPr>
            <w:tcW w:w="1418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930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>значение характеристики</w:t>
            </w:r>
          </w:p>
        </w:tc>
      </w:tr>
      <w:tr w:rsidR="002C7B2B" w:rsidRPr="002C7B2B" w:rsidTr="006F6C7E">
        <w:tc>
          <w:tcPr>
            <w:tcW w:w="556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3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0" w:history="1">
              <w:r w:rsidRPr="002C7B2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871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8930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7B2B">
              <w:rPr>
                <w:rFonts w:ascii="Times New Roman" w:hAnsi="Times New Roman" w:cs="Times New Roman"/>
                <w:szCs w:val="22"/>
              </w:rPr>
              <w:t xml:space="preserve">должности муниципальной службы </w:t>
            </w:r>
            <w:r>
              <w:rPr>
                <w:rFonts w:ascii="Times New Roman" w:hAnsi="Times New Roman" w:cs="Times New Roman"/>
                <w:szCs w:val="22"/>
              </w:rPr>
              <w:t>Контрольно-счетной палаты Ярославского муниципального района Ярославской области</w:t>
            </w:r>
          </w:p>
        </w:tc>
      </w:tr>
      <w:tr w:rsidR="002C7B2B" w:rsidRPr="002C7B2B" w:rsidTr="006F6C7E">
        <w:tc>
          <w:tcPr>
            <w:tcW w:w="556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3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1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службы, относящиеся к группе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высшие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службы, относящиеся к  группе «ведущие»</w:t>
            </w:r>
          </w:p>
        </w:tc>
      </w:tr>
      <w:tr w:rsidR="002C7B2B" w:rsidRPr="002C7B2B" w:rsidTr="006F6C7E">
        <w:tc>
          <w:tcPr>
            <w:tcW w:w="55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0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397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2C7B2B" w:rsidRPr="002C7B2B" w:rsidTr="006F6C7E">
        <w:trPr>
          <w:trHeight w:val="376"/>
        </w:trPr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30.02.12</w:t>
            </w:r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портативные массой не более 10 кг для автоматической 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данных («лэптопы», «ноутбуки», «сабноутбуки»).</w:t>
            </w:r>
          </w:p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ноутбуки</w:t>
            </w: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и тип экрана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ЖК, 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17,3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15,6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ЖК, 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17,3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15,6</w:t>
            </w:r>
          </w:p>
        </w:tc>
      </w:tr>
      <w:tr w:rsidR="002C7B2B" w:rsidRPr="002C7B2B" w:rsidTr="006F6C7E">
        <w:trPr>
          <w:trHeight w:val="31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допустимое – 3 кг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допустимое – 3 кг</w:t>
            </w:r>
          </w:p>
        </w:tc>
      </w:tr>
      <w:tr w:rsidR="002C7B2B" w:rsidRPr="002C7B2B" w:rsidTr="006F6C7E">
        <w:trPr>
          <w:trHeight w:val="37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4 ядра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2 ядра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4 ядра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2 ядра</w:t>
            </w:r>
          </w:p>
        </w:tc>
      </w:tr>
      <w:tr w:rsidR="002C7B2B" w:rsidRPr="002C7B2B" w:rsidTr="006F6C7E">
        <w:trPr>
          <w:trHeight w:val="88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3500 МГц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от 2000 МГц до 3500 МГц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3500 МГц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от 2000 МГц до 3500 МГц</w:t>
            </w:r>
          </w:p>
        </w:tc>
      </w:tr>
      <w:tr w:rsidR="002C7B2B" w:rsidRPr="002C7B2B" w:rsidTr="006F6C7E">
        <w:trPr>
          <w:trHeight w:val="87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8 Гб,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4 Гб, 2 Гб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8 Гб,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4 Гб, 2 Гб</w:t>
            </w:r>
          </w:p>
        </w:tc>
      </w:tr>
      <w:tr w:rsidR="002C7B2B" w:rsidRPr="002C7B2B" w:rsidTr="006F6C7E">
        <w:trPr>
          <w:trHeight w:val="64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1000 Гб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 от 250 Гб до 1000 Гб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1000 Гб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 от 250 Гб до 1000 Гб</w:t>
            </w:r>
          </w:p>
        </w:tc>
      </w:tr>
      <w:tr w:rsidR="002C7B2B" w:rsidRPr="002C7B2B" w:rsidTr="006F6C7E">
        <w:trPr>
          <w:trHeight w:val="76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SSD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SSD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</w:p>
        </w:tc>
      </w:tr>
      <w:tr w:rsidR="002C7B2B" w:rsidRPr="002C7B2B" w:rsidTr="006F6C7E">
        <w:trPr>
          <w:trHeight w:val="75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</w:t>
            </w:r>
            <w:r w:rsidRPr="002C7B2B">
              <w:rPr>
                <w:rStyle w:val="product-specvalue-inner1"/>
                <w:rFonts w:ascii="Times New Roman" w:hAnsi="Times New Roman" w:cs="Times New Roman"/>
                <w:sz w:val="24"/>
                <w:szCs w:val="24"/>
              </w:rPr>
              <w:t>DVD-RW, внутренний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значения: </w:t>
            </w:r>
            <w:r w:rsidRPr="002C7B2B">
              <w:rPr>
                <w:rStyle w:val="product-specvalue-inner1"/>
                <w:rFonts w:ascii="Times New Roman" w:hAnsi="Times New Roman" w:cs="Times New Roman"/>
                <w:sz w:val="24"/>
                <w:szCs w:val="24"/>
              </w:rPr>
              <w:t>DVD-R, внутренний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</w:t>
            </w:r>
            <w:r w:rsidRPr="002C7B2B">
              <w:rPr>
                <w:rStyle w:val="product-specvalue-inner1"/>
                <w:rFonts w:ascii="Times New Roman" w:hAnsi="Times New Roman" w:cs="Times New Roman"/>
                <w:sz w:val="24"/>
                <w:szCs w:val="24"/>
              </w:rPr>
              <w:t>DVD-RW, внутренний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значения: </w:t>
            </w:r>
            <w:r w:rsidRPr="002C7B2B">
              <w:rPr>
                <w:rStyle w:val="product-specvalue-inner1"/>
                <w:rFonts w:ascii="Times New Roman" w:hAnsi="Times New Roman" w:cs="Times New Roman"/>
                <w:sz w:val="24"/>
                <w:szCs w:val="24"/>
              </w:rPr>
              <w:t>DVD-R, внутренний</w:t>
            </w:r>
          </w:p>
        </w:tc>
      </w:tr>
      <w:tr w:rsidR="002C7B2B" w:rsidRPr="002C7B2B" w:rsidTr="006F6C7E">
        <w:trPr>
          <w:trHeight w:val="78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Bluetooth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, поддержки 3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UMTS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</w:tr>
      <w:tr w:rsidR="002C7B2B" w:rsidRPr="002C7B2B" w:rsidTr="006F6C7E">
        <w:trPr>
          <w:trHeight w:val="63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встроенный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встроенный</w:t>
            </w:r>
          </w:p>
        </w:tc>
      </w:tr>
      <w:tr w:rsidR="002C7B2B" w:rsidRPr="002C7B2B" w:rsidTr="006F6C7E">
        <w:trPr>
          <w:trHeight w:val="58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3"/>
              <w:spacing w:after="0" w:line="240" w:lineRule="auto"/>
              <w:jc w:val="both"/>
              <w:rPr>
                <w:sz w:val="24"/>
                <w:szCs w:val="24"/>
              </w:rPr>
            </w:pPr>
            <w:r w:rsidRPr="002C7B2B">
              <w:rPr>
                <w:sz w:val="24"/>
                <w:szCs w:val="24"/>
              </w:rPr>
              <w:t>Автономное время работы с текстом: не менее 3 час./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15 час.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3"/>
              <w:spacing w:after="0" w:line="240" w:lineRule="auto"/>
              <w:jc w:val="both"/>
              <w:rPr>
                <w:sz w:val="24"/>
                <w:szCs w:val="24"/>
              </w:rPr>
            </w:pPr>
            <w:r w:rsidRPr="002C7B2B">
              <w:rPr>
                <w:sz w:val="24"/>
                <w:szCs w:val="24"/>
              </w:rPr>
              <w:t>Автономное время работы с текстом: не менее 3 час./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15 час.</w:t>
            </w:r>
          </w:p>
        </w:tc>
      </w:tr>
      <w:tr w:rsidR="002C7B2B" w:rsidRPr="002C7B2B" w:rsidTr="006F6C7E">
        <w:trPr>
          <w:trHeight w:val="67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C7B2B">
              <w:rPr>
                <w:sz w:val="24"/>
                <w:szCs w:val="24"/>
              </w:rPr>
              <w:t>Операционная система, предназначенная для использования в органах исполнительной власти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C7B2B">
              <w:rPr>
                <w:sz w:val="24"/>
                <w:szCs w:val="24"/>
              </w:rPr>
              <w:t>Операционная система, предназначенная для использования в органах исполнительной власти</w:t>
            </w:r>
          </w:p>
        </w:tc>
      </w:tr>
      <w:tr w:rsidR="002C7B2B" w:rsidRPr="002C7B2B" w:rsidTr="006F6C7E">
        <w:trPr>
          <w:trHeight w:val="322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6F6C7E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предустановл</w:t>
            </w:r>
            <w:r w:rsidR="002C7B2B" w:rsidRPr="002C7B2B">
              <w:rPr>
                <w:rFonts w:ascii="Times New Roman" w:hAnsi="Times New Roman" w:cs="Times New Roman"/>
                <w:sz w:val="24"/>
                <w:szCs w:val="24"/>
              </w:rPr>
              <w:t>енное программное обеспечение</w:t>
            </w: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комплект офисных программ (в т.ч. текстовый процессор, табличный процессор,программа для работы с сообщениями электронной почты и т.п.),предназначенных  для использования в органах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комплект офисных программ (в т.ч. текстовый процессор, табличный процессор,программа для работы с сообщениями электронной почты и т.п.),предназначенных  для использования в органах</w:t>
            </w:r>
          </w:p>
        </w:tc>
      </w:tr>
      <w:tr w:rsidR="002C7B2B" w:rsidRPr="002C7B2B" w:rsidTr="006F6C7E">
        <w:trPr>
          <w:trHeight w:val="75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rPr>
                <w:rStyle w:val="1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не более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45 000 руб.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rPr>
                <w:rStyle w:val="1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не более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45 000 руб.</w:t>
            </w:r>
          </w:p>
        </w:tc>
      </w:tr>
      <w:tr w:rsidR="002C7B2B" w:rsidRPr="002C7B2B" w:rsidTr="006F6C7E">
        <w:trPr>
          <w:trHeight w:val="1165"/>
        </w:trPr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30.02.15</w:t>
            </w:r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данных: запоминающие устройства, устройства ввода, устройства вывода.</w:t>
            </w:r>
          </w:p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</w:t>
            </w:r>
          </w:p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персональные настольные, рабочие станции вывода </w:t>
            </w:r>
          </w:p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(моноблок/ системный блок и монитор)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системный блок и монитор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системный блок и монитор</w:t>
            </w:r>
          </w:p>
        </w:tc>
      </w:tr>
      <w:tr w:rsidR="002C7B2B" w:rsidRPr="002C7B2B" w:rsidTr="006F6C7E">
        <w:trPr>
          <w:trHeight w:val="831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размер экрана/монитора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24 дюйма, возможные значения: от 21 дюйма до 24 дюймов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24 дюйма, возможные значения: от 21 дюйма до 24 дюймов</w:t>
            </w:r>
          </w:p>
        </w:tc>
      </w:tr>
      <w:tr w:rsidR="002C7B2B" w:rsidRPr="002C7B2B" w:rsidTr="006F6C7E">
        <w:trPr>
          <w:trHeight w:val="63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4 ядра,</w:t>
            </w:r>
          </w:p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2 ядра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4 ядра,</w:t>
            </w:r>
          </w:p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2 ядра</w:t>
            </w:r>
          </w:p>
        </w:tc>
      </w:tr>
      <w:tr w:rsidR="002C7B2B" w:rsidRPr="002C7B2B" w:rsidTr="006F6C7E">
        <w:trPr>
          <w:trHeight w:val="66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4 ГГц, возможные значения: от 3,3 ГГц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4 ГГц, возможные значения: от 3,3 ГГц</w:t>
            </w:r>
          </w:p>
        </w:tc>
      </w:tr>
      <w:tr w:rsidR="002C7B2B" w:rsidRPr="002C7B2B" w:rsidTr="006F6C7E">
        <w:trPr>
          <w:trHeight w:val="707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значение:8 Гб</w:t>
            </w:r>
          </w:p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возможное значение: 4 Гб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значение:8 Гб</w:t>
            </w:r>
          </w:p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возможное значение: 4 Гб</w:t>
            </w:r>
          </w:p>
        </w:tc>
      </w:tr>
      <w:tr w:rsidR="002C7B2B" w:rsidRPr="002C7B2B" w:rsidTr="006F6C7E">
        <w:trPr>
          <w:trHeight w:val="61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1000 Гб,</w:t>
            </w:r>
          </w:p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от 250 Гб до 1000 Гб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1000 Гб,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от 250 Гб до 1000 Гб</w:t>
            </w:r>
          </w:p>
        </w:tc>
      </w:tr>
      <w:tr w:rsidR="002C7B2B" w:rsidRPr="002C7B2B" w:rsidTr="006F6C7E">
        <w:trPr>
          <w:trHeight w:val="66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SSD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возможные значения: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SSD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возможные значения: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</w:p>
        </w:tc>
      </w:tr>
      <w:tr w:rsidR="002C7B2B" w:rsidRPr="002C7B2B" w:rsidTr="006F6C7E">
        <w:trPr>
          <w:trHeight w:val="61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DVD±R/RW или DVD-ROM 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значение: DVD±R/RW или DVD-ROM </w:t>
            </w:r>
          </w:p>
        </w:tc>
      </w:tr>
      <w:tr w:rsidR="002C7B2B" w:rsidRPr="002C7B2B" w:rsidTr="006F6C7E">
        <w:trPr>
          <w:trHeight w:val="66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встроенный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встроенный</w:t>
            </w:r>
          </w:p>
        </w:tc>
      </w:tr>
      <w:tr w:rsidR="002C7B2B" w:rsidRPr="002C7B2B" w:rsidTr="006F6C7E">
        <w:trPr>
          <w:trHeight w:val="570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предназначенная для использования в органах исполнительной власти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предназначенная для использования в органах исполнительной власти</w:t>
            </w:r>
          </w:p>
        </w:tc>
      </w:tr>
      <w:tr w:rsidR="002C7B2B" w:rsidRPr="002C7B2B" w:rsidTr="006F6C7E">
        <w:trPr>
          <w:trHeight w:val="94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т.п.), предназначенных  для использования в органах власти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т.п.), предназначенных  для использования в органах власти</w:t>
            </w:r>
          </w:p>
        </w:tc>
      </w:tr>
      <w:tr w:rsidR="002C7B2B" w:rsidRPr="002C7B2B" w:rsidTr="006F6C7E">
        <w:trPr>
          <w:trHeight w:val="49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rPr>
                <w:rStyle w:val="1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не более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45 000 руб.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rPr>
                <w:rStyle w:val="1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не более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45 000 руб.</w:t>
            </w:r>
          </w:p>
        </w:tc>
      </w:tr>
      <w:tr w:rsidR="002C7B2B" w:rsidRPr="002C7B2B" w:rsidTr="006F6C7E">
        <w:trPr>
          <w:trHeight w:val="2190"/>
        </w:trPr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30.02.16</w:t>
            </w:r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</w:t>
            </w:r>
            <w:r w:rsidR="00D1200C">
              <w:rPr>
                <w:rFonts w:ascii="Times New Roman" w:hAnsi="Times New Roman" w:cs="Times New Roman"/>
                <w:sz w:val="24"/>
                <w:szCs w:val="24"/>
              </w:rPr>
              <w:t>анных, содержащие (не содержащие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) в одном корпусе 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запоминающие устройства.</w:t>
            </w:r>
          </w:p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принтеры, сканеры, многофункциональные устройства</w:t>
            </w: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печати (струйный/ лазерный – для принтера/многофункционального устройства)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</w:p>
        </w:tc>
      </w:tr>
      <w:tr w:rsidR="002C7B2B" w:rsidRPr="002C7B2B" w:rsidTr="006F6C7E">
        <w:trPr>
          <w:trHeight w:val="184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9600 точек на дюйм, возможные значения: от 600 до 9600 точек на дюйм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9600 точек на дюйм, возможные значения: от 600 до 9600 точек на дюйм</w:t>
            </w:r>
          </w:p>
        </w:tc>
      </w:tr>
      <w:tr w:rsidR="002C7B2B" w:rsidRPr="002C7B2B" w:rsidTr="006F6C7E">
        <w:trPr>
          <w:trHeight w:val="40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2C7B2B" w:rsidRPr="002C7B2B" w:rsidTr="006F6C7E">
        <w:trPr>
          <w:trHeight w:val="1546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2C7B2B" w:rsidRPr="002C7B2B" w:rsidTr="006F6C7E">
        <w:trPr>
          <w:trHeight w:val="142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менее 20 стр./мин  и  не более 60 стр./мин</w:t>
            </w:r>
            <w:r w:rsidRPr="002C7B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28 стр./мин, допустимые значения: от 8 стр./мин до 27 стр./мин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менее 20 стр./мин  и  не более 60 стр./мин</w:t>
            </w:r>
            <w:r w:rsidRPr="002C7B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 28 стр./мин, допустимые значения: от 8 стр./мин до 27 стр./мин</w:t>
            </w:r>
          </w:p>
        </w:tc>
      </w:tr>
      <w:tr w:rsidR="002C7B2B" w:rsidRPr="002C7B2B" w:rsidTr="006F6C7E">
        <w:trPr>
          <w:trHeight w:val="1195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значения: сетевой, устройства чтения карт памяти, дуплексная печать, разъем USB 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предельные значения: сетевой, устройства чтения карт памяти, дуплексная печать, разъем USB</w:t>
            </w:r>
          </w:p>
        </w:tc>
      </w:tr>
      <w:tr w:rsidR="002C7B2B" w:rsidRPr="002C7B2B" w:rsidTr="006F6C7E">
        <w:trPr>
          <w:trHeight w:val="1195"/>
        </w:trPr>
        <w:tc>
          <w:tcPr>
            <w:tcW w:w="55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2C7B2B" w:rsidRPr="002C7B2B" w:rsidRDefault="002C7B2B" w:rsidP="006F6C7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C7B2B" w:rsidRPr="002C7B2B" w:rsidRDefault="002C7B2B" w:rsidP="006F6C7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rPr>
                <w:rStyle w:val="1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не более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20 000 руб.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3"/>
              <w:shd w:val="clear" w:color="auto" w:fill="auto"/>
              <w:spacing w:after="0" w:line="240" w:lineRule="auto"/>
              <w:rPr>
                <w:rStyle w:val="1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не более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Style w:val="1"/>
                <w:sz w:val="24"/>
                <w:szCs w:val="24"/>
              </w:rPr>
              <w:t>20 000 руб.</w:t>
            </w:r>
          </w:p>
        </w:tc>
      </w:tr>
      <w:tr w:rsidR="002C7B2B" w:rsidRPr="002C7B2B" w:rsidTr="006F6C7E">
        <w:trPr>
          <w:trHeight w:val="1424"/>
        </w:trPr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32.20.11</w:t>
            </w:r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Аппаратура передающая для радиосвязи, радиовещания и телевидения.</w:t>
            </w:r>
          </w:p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(телефон/смартфон),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телефон или смартфон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телефон или смартфон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поддерживаемые стандарты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900/1800/1900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4G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900/1800/1900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4G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тип операционной системы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24 часов в режиме разговора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24 часов в режиме разговора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метод управления (сенсорный/кнопочный)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сенсорный или кнопочный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сенсорный или кнопочный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количество сим-карт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наличие модулей и интерфейсов (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Bluetooh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Bluetooh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и/или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Bluetooh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 и/или</w:t>
            </w:r>
            <w:r w:rsidRPr="002C7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</w:tr>
      <w:tr w:rsidR="002C7B2B" w:rsidRPr="002C7B2B" w:rsidTr="006F6C7E">
        <w:trPr>
          <w:trHeight w:val="1423"/>
        </w:trPr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547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71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4394" w:type="dxa"/>
            <w:gridSpan w:val="2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5 тыс.</w:t>
            </w:r>
          </w:p>
        </w:tc>
        <w:tc>
          <w:tcPr>
            <w:tcW w:w="4536" w:type="dxa"/>
            <w:vAlign w:val="bottom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5 тыс.</w:t>
            </w:r>
          </w:p>
        </w:tc>
      </w:tr>
      <w:tr w:rsidR="002C7B2B" w:rsidRPr="002C7B2B" w:rsidTr="006F6C7E"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34.10.22</w:t>
            </w:r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579" w:type="dxa"/>
            <w:gridSpan w:val="3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мощность двигателя,  предельная цена</w:t>
            </w: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2B" w:rsidRPr="002C7B2B" w:rsidTr="006F6C7E">
        <w:tc>
          <w:tcPr>
            <w:tcW w:w="556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  <w:vMerge/>
          </w:tcPr>
          <w:p w:rsidR="002C7B2B" w:rsidRPr="002C7B2B" w:rsidRDefault="002C7B2B" w:rsidP="006F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не более 1,0 млн.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2B" w:rsidRPr="002C7B2B" w:rsidTr="006F6C7E">
        <w:tc>
          <w:tcPr>
            <w:tcW w:w="556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04" w:type="dxa"/>
            <w:gridSpan w:val="2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36.11.11</w:t>
            </w:r>
          </w:p>
        </w:tc>
        <w:tc>
          <w:tcPr>
            <w:tcW w:w="1397" w:type="dxa"/>
            <w:vMerge w:val="restart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железо или алюминий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железо или алюминий</w:t>
            </w:r>
          </w:p>
        </w:tc>
      </w:tr>
      <w:tr w:rsidR="002C7B2B" w:rsidRPr="002C7B2B" w:rsidTr="006F6C7E">
        <w:tc>
          <w:tcPr>
            <w:tcW w:w="556" w:type="dxa"/>
            <w:vMerge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2C7B2B" w:rsidRPr="002C7B2B" w:rsidRDefault="002C7B2B" w:rsidP="006F6C7E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– искусственная кожа;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2C7B2B" w:rsidRPr="002C7B2B" w:rsidTr="006F6C7E">
        <w:tc>
          <w:tcPr>
            <w:tcW w:w="55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84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36.11.12</w:t>
            </w:r>
          </w:p>
        </w:tc>
        <w:tc>
          <w:tcPr>
            <w:tcW w:w="1417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древесина хвойных и мягколиствен-ных пород: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д</w:t>
            </w:r>
            <w:r w:rsidR="00645594">
              <w:rPr>
                <w:rFonts w:ascii="Times New Roman" w:hAnsi="Times New Roman" w:cs="Times New Roman"/>
                <w:sz w:val="24"/>
                <w:szCs w:val="24"/>
              </w:rPr>
              <w:t>ревесина хвойных и мягколиствен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ных пород: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</w:tc>
      </w:tr>
      <w:tr w:rsidR="002C7B2B" w:rsidRPr="002C7B2B" w:rsidTr="006F6C7E">
        <w:tc>
          <w:tcPr>
            <w:tcW w:w="556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2B" w:rsidRPr="002C7B2B" w:rsidTr="006F6C7E">
        <w:tc>
          <w:tcPr>
            <w:tcW w:w="55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84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36.12.12</w:t>
            </w:r>
          </w:p>
        </w:tc>
        <w:tc>
          <w:tcPr>
            <w:tcW w:w="1417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:rsidR="002C7B2B" w:rsidRPr="002C7B2B" w:rsidRDefault="002C7B2B" w:rsidP="006F6C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547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C7B2B" w:rsidRPr="002C7B2B" w:rsidRDefault="002C7B2B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(твердо-лиственных и тропических);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д</w:t>
            </w:r>
            <w:r w:rsidR="00645594">
              <w:rPr>
                <w:rFonts w:ascii="Times New Roman" w:hAnsi="Times New Roman" w:cs="Times New Roman"/>
                <w:sz w:val="24"/>
                <w:szCs w:val="24"/>
              </w:rPr>
              <w:t>ревесина хвойных и мягколиствен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ных пород</w:t>
            </w:r>
          </w:p>
        </w:tc>
        <w:tc>
          <w:tcPr>
            <w:tcW w:w="4536" w:type="dxa"/>
          </w:tcPr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древесина </w:t>
            </w:r>
            <w:r w:rsidR="00645594">
              <w:rPr>
                <w:rFonts w:ascii="Times New Roman" w:hAnsi="Times New Roman" w:cs="Times New Roman"/>
                <w:sz w:val="24"/>
                <w:szCs w:val="24"/>
              </w:rPr>
              <w:t>хвойных и мягколиствен</w:t>
            </w: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ных пород:</w:t>
            </w:r>
          </w:p>
          <w:p w:rsidR="002C7B2B" w:rsidRPr="002C7B2B" w:rsidRDefault="002C7B2B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ель, возможное значение: МДФ, ДСП</w:t>
            </w:r>
          </w:p>
        </w:tc>
      </w:tr>
      <w:tr w:rsidR="002C7B2B" w:rsidRPr="002C7B2B" w:rsidTr="002C7B2B">
        <w:tc>
          <w:tcPr>
            <w:tcW w:w="14884" w:type="dxa"/>
            <w:gridSpan w:val="12"/>
          </w:tcPr>
          <w:p w:rsidR="002C7B2B" w:rsidRPr="002C7B2B" w:rsidRDefault="002C7B2B" w:rsidP="00EE6E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D1200C">
              <w:rPr>
                <w:rFonts w:ascii="Times New Roman" w:hAnsi="Times New Roman" w:cs="Times New Roman"/>
                <w:sz w:val="24"/>
                <w:szCs w:val="24"/>
              </w:rPr>
              <w:t>Контрольно-счетной палатой</w:t>
            </w:r>
            <w:r w:rsidR="009D4B34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Ярославского муниципального района Ярославской области</w:t>
            </w:r>
          </w:p>
        </w:tc>
      </w:tr>
      <w:tr w:rsidR="00645594" w:rsidRPr="002C7B2B" w:rsidTr="00645594">
        <w:tc>
          <w:tcPr>
            <w:tcW w:w="556" w:type="dxa"/>
          </w:tcPr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69.20.10</w:t>
            </w:r>
          </w:p>
        </w:tc>
        <w:tc>
          <w:tcPr>
            <w:tcW w:w="1579" w:type="dxa"/>
            <w:gridSpan w:val="3"/>
          </w:tcPr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проведению финансового аудита  </w:t>
            </w:r>
          </w:p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645594" w:rsidRPr="002C7B2B" w:rsidRDefault="00645594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5594" w:rsidRPr="002C7B2B" w:rsidRDefault="00645594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</w:tcPr>
          <w:p w:rsidR="00645594" w:rsidRPr="002C7B2B" w:rsidRDefault="00645594" w:rsidP="00EE6E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8876" w:type="dxa"/>
            <w:gridSpan w:val="2"/>
          </w:tcPr>
          <w:p w:rsidR="00645594" w:rsidRPr="002C7B2B" w:rsidRDefault="00645594" w:rsidP="00197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услуг осуществляется в пределах доведенных лимитов бюджетных обязательств на обеспечение функций Контрольно-счетной палаты Ярославского муниципального района Ярославской области в</w:t>
            </w:r>
            <w:r w:rsidRPr="00D503D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Муниципального Совета Ярославского муниципального района о районном бюджете на соответствующий финансовый год</w:t>
            </w:r>
          </w:p>
        </w:tc>
      </w:tr>
      <w:tr w:rsidR="00645594" w:rsidRPr="002C7B2B" w:rsidTr="00645594">
        <w:tc>
          <w:tcPr>
            <w:tcW w:w="556" w:type="dxa"/>
          </w:tcPr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4" w:type="dxa"/>
          </w:tcPr>
          <w:p w:rsidR="00645594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  <w:p w:rsidR="00645594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  <w:p w:rsidR="00645594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  <w:p w:rsidR="00645594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579" w:type="dxa"/>
            <w:gridSpan w:val="3"/>
          </w:tcPr>
          <w:p w:rsidR="00645594" w:rsidRPr="002C7B2B" w:rsidRDefault="00645594" w:rsidP="006F6C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Канцелярские товары и принадлежности</w:t>
            </w:r>
          </w:p>
        </w:tc>
        <w:tc>
          <w:tcPr>
            <w:tcW w:w="1256" w:type="dxa"/>
          </w:tcPr>
          <w:p w:rsidR="00645594" w:rsidRPr="002C7B2B" w:rsidRDefault="00645594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5594" w:rsidRDefault="00645594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  <w:p w:rsidR="00645594" w:rsidRPr="002C7B2B" w:rsidRDefault="00645594" w:rsidP="006F6C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925" w:type="dxa"/>
            <w:gridSpan w:val="2"/>
          </w:tcPr>
          <w:p w:rsidR="00645594" w:rsidRPr="002C7B2B" w:rsidRDefault="00645594" w:rsidP="00EE6E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8876" w:type="dxa"/>
            <w:gridSpan w:val="2"/>
          </w:tcPr>
          <w:p w:rsidR="00645594" w:rsidRPr="002C7B2B" w:rsidRDefault="00645594" w:rsidP="00197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 осуществляется в пределах доведенных лимитов бюджетных обязательств на обеспечение функций Контрольно-счетной палаты Ярославского муниципального района Ярославской области в</w:t>
            </w:r>
            <w:r w:rsidRPr="00D503D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Муниципального Совета Ярославского муниципального района о районном бюджете на соответствующий финансовый год</w:t>
            </w:r>
          </w:p>
        </w:tc>
      </w:tr>
    </w:tbl>
    <w:p w:rsidR="002C7B2B" w:rsidRPr="00D503DD" w:rsidRDefault="002C7B2B" w:rsidP="002C7B2B">
      <w:pPr>
        <w:pStyle w:val="ConsPlusNormal"/>
        <w:ind w:left="9214"/>
        <w:rPr>
          <w:rFonts w:ascii="Times New Roman" w:hAnsi="Times New Roman" w:cs="Times New Roman"/>
          <w:sz w:val="24"/>
          <w:szCs w:val="24"/>
        </w:rPr>
      </w:pPr>
    </w:p>
    <w:p w:rsidR="002C7B2B" w:rsidRPr="009D4B34" w:rsidRDefault="002C7B2B" w:rsidP="002C7B2B">
      <w:pPr>
        <w:pStyle w:val="ConsPlusNormal"/>
        <w:ind w:left="9214"/>
        <w:rPr>
          <w:rFonts w:ascii="Times New Roman" w:hAnsi="Times New Roman" w:cs="Times New Roman"/>
          <w:sz w:val="24"/>
          <w:szCs w:val="24"/>
        </w:rPr>
      </w:pPr>
    </w:p>
    <w:p w:rsidR="002C7B2B" w:rsidRPr="009D4B34" w:rsidRDefault="002C7B2B" w:rsidP="002C7B2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Cs w:val="28"/>
        </w:rPr>
      </w:pPr>
      <w:r w:rsidRPr="009D4B34">
        <w:rPr>
          <w:rFonts w:ascii="Times New Roman" w:hAnsi="Times New Roman" w:cs="Times New Roman"/>
          <w:szCs w:val="28"/>
        </w:rPr>
        <w:t>Список используемых сокращений</w:t>
      </w:r>
    </w:p>
    <w:p w:rsidR="002C7B2B" w:rsidRPr="002B0D64" w:rsidRDefault="002C7B2B" w:rsidP="002C7B2B">
      <w:pPr>
        <w:pStyle w:val="aa"/>
        <w:jc w:val="both"/>
      </w:pPr>
      <w:r w:rsidRPr="002B0D64">
        <w:t xml:space="preserve">ОКЕИ </w:t>
      </w:r>
      <w:r>
        <w:t>–</w:t>
      </w:r>
      <w:r w:rsidRPr="002B0D64">
        <w:t xml:space="preserve"> Общероссийский классификатор единиц измерения</w:t>
      </w:r>
    </w:p>
    <w:p w:rsidR="002C7B2B" w:rsidRDefault="002C7B2B" w:rsidP="002C7B2B">
      <w:pPr>
        <w:pStyle w:val="aa"/>
        <w:jc w:val="both"/>
      </w:pPr>
      <w:r w:rsidRPr="002B0D64">
        <w:t>ОКПД</w:t>
      </w:r>
      <w:r w:rsidRPr="002B0D64">
        <w:rPr>
          <w:rFonts w:eastAsiaTheme="minorHAnsi"/>
        </w:rPr>
        <w:t xml:space="preserve"> </w:t>
      </w:r>
      <w:r w:rsidRPr="002B0D64">
        <w:t>–</w:t>
      </w:r>
      <w:r w:rsidRPr="002B0D64">
        <w:rPr>
          <w:rFonts w:eastAsiaTheme="minorHAnsi"/>
        </w:rPr>
        <w:t xml:space="preserve"> </w:t>
      </w:r>
      <w:r w:rsidRPr="002B0D64">
        <w:t>Общероссийский классификатор продукции по в</w:t>
      </w:r>
      <w:r>
        <w:t>идам экономической деятельности</w:t>
      </w:r>
    </w:p>
    <w:p w:rsidR="006A7509" w:rsidRPr="00BD53B2" w:rsidRDefault="006A7509">
      <w:pPr>
        <w:pStyle w:val="ConsPlusNormal"/>
        <w:jc w:val="both"/>
        <w:rPr>
          <w:rFonts w:ascii="Times New Roman" w:hAnsi="Times New Roman" w:cs="Times New Roman"/>
        </w:rPr>
      </w:pPr>
    </w:p>
    <w:p w:rsidR="007C7CC0" w:rsidRPr="007C7CC0" w:rsidRDefault="007C7CC0" w:rsidP="007C7CC0">
      <w:pPr>
        <w:pStyle w:val="ConsPlusNormal"/>
        <w:rPr>
          <w:rFonts w:ascii="Times New Roman" w:hAnsi="Times New Roman" w:cs="Times New Roman"/>
          <w:sz w:val="12"/>
          <w:szCs w:val="12"/>
        </w:rPr>
      </w:pPr>
      <w:bookmarkStart w:id="0" w:name="P357"/>
      <w:bookmarkEnd w:id="0"/>
    </w:p>
    <w:sectPr w:rsidR="007C7CC0" w:rsidRPr="007C7CC0" w:rsidSect="009756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567" w:right="567" w:bottom="851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A4" w:rsidRDefault="00AE65A4" w:rsidP="00AE1E01">
      <w:pPr>
        <w:spacing w:after="0" w:line="240" w:lineRule="auto"/>
      </w:pPr>
      <w:r>
        <w:separator/>
      </w:r>
    </w:p>
  </w:endnote>
  <w:endnote w:type="continuationSeparator" w:id="0">
    <w:p w:rsidR="00AE65A4" w:rsidRDefault="00AE65A4" w:rsidP="00AE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B2B" w:rsidRDefault="002C7B2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B2B" w:rsidRDefault="002C7B2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B2B" w:rsidRDefault="002C7B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A4" w:rsidRDefault="00AE65A4" w:rsidP="00AE1E01">
      <w:pPr>
        <w:spacing w:after="0" w:line="240" w:lineRule="auto"/>
      </w:pPr>
      <w:r>
        <w:separator/>
      </w:r>
    </w:p>
  </w:footnote>
  <w:footnote w:type="continuationSeparator" w:id="0">
    <w:p w:rsidR="00AE65A4" w:rsidRDefault="00AE65A4" w:rsidP="00AE1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B2B" w:rsidRDefault="002C7B2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4596289"/>
      <w:docPartObj>
        <w:docPartGallery w:val="Page Numbers (Top of Page)"/>
        <w:docPartUnique/>
      </w:docPartObj>
    </w:sdtPr>
    <w:sdtContent>
      <w:p w:rsidR="002C7B2B" w:rsidRDefault="00F33113" w:rsidP="001006FF">
        <w:pPr>
          <w:pStyle w:val="a5"/>
          <w:tabs>
            <w:tab w:val="left" w:pos="4533"/>
          </w:tabs>
        </w:pPr>
      </w:p>
    </w:sdtContent>
  </w:sdt>
  <w:p w:rsidR="002C7B2B" w:rsidRDefault="002C7B2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8503829"/>
      <w:docPartObj>
        <w:docPartGallery w:val="Page Numbers (Top of Page)"/>
        <w:docPartUnique/>
      </w:docPartObj>
    </w:sdtPr>
    <w:sdtContent>
      <w:p w:rsidR="002C7B2B" w:rsidRDefault="00F33113">
        <w:pPr>
          <w:pStyle w:val="a5"/>
          <w:jc w:val="center"/>
        </w:pPr>
        <w:fldSimple w:instr="PAGE   \* MERGEFORMAT">
          <w:r w:rsidR="002C7B2B">
            <w:rPr>
              <w:noProof/>
            </w:rPr>
            <w:t>1</w:t>
          </w:r>
        </w:fldSimple>
      </w:p>
    </w:sdtContent>
  </w:sdt>
  <w:p w:rsidR="002C7B2B" w:rsidRDefault="002C7B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93DAD"/>
    <w:multiLevelType w:val="hybridMultilevel"/>
    <w:tmpl w:val="0874C9C8"/>
    <w:lvl w:ilvl="0" w:tplc="AD10CA30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7E2425"/>
    <w:multiLevelType w:val="hybridMultilevel"/>
    <w:tmpl w:val="0874C9C8"/>
    <w:lvl w:ilvl="0" w:tplc="AD10CA30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81E57F8"/>
    <w:multiLevelType w:val="multilevel"/>
    <w:tmpl w:val="FA8EC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082"/>
    <w:rsid w:val="00027B87"/>
    <w:rsid w:val="00076377"/>
    <w:rsid w:val="000D11D9"/>
    <w:rsid w:val="001006FF"/>
    <w:rsid w:val="0019072F"/>
    <w:rsid w:val="00206BB4"/>
    <w:rsid w:val="00270809"/>
    <w:rsid w:val="00290E30"/>
    <w:rsid w:val="002937FB"/>
    <w:rsid w:val="00296C74"/>
    <w:rsid w:val="002B3F56"/>
    <w:rsid w:val="002C7B2B"/>
    <w:rsid w:val="0030216F"/>
    <w:rsid w:val="0034597E"/>
    <w:rsid w:val="003E3C64"/>
    <w:rsid w:val="003F4082"/>
    <w:rsid w:val="004C264E"/>
    <w:rsid w:val="004F788E"/>
    <w:rsid w:val="00560791"/>
    <w:rsid w:val="005D629E"/>
    <w:rsid w:val="0061797D"/>
    <w:rsid w:val="00645594"/>
    <w:rsid w:val="006A28F4"/>
    <w:rsid w:val="006A7509"/>
    <w:rsid w:val="006C40C8"/>
    <w:rsid w:val="006F6C7E"/>
    <w:rsid w:val="00714F98"/>
    <w:rsid w:val="00783D00"/>
    <w:rsid w:val="007C7CC0"/>
    <w:rsid w:val="007F3788"/>
    <w:rsid w:val="00815053"/>
    <w:rsid w:val="008403DD"/>
    <w:rsid w:val="00895FD7"/>
    <w:rsid w:val="008A1DED"/>
    <w:rsid w:val="008A4551"/>
    <w:rsid w:val="008E726B"/>
    <w:rsid w:val="009445DB"/>
    <w:rsid w:val="00975687"/>
    <w:rsid w:val="009C774B"/>
    <w:rsid w:val="009D4B34"/>
    <w:rsid w:val="009D64D5"/>
    <w:rsid w:val="00A70B51"/>
    <w:rsid w:val="00AC428E"/>
    <w:rsid w:val="00AE1E01"/>
    <w:rsid w:val="00AE65A4"/>
    <w:rsid w:val="00B2427A"/>
    <w:rsid w:val="00BA526C"/>
    <w:rsid w:val="00BA6450"/>
    <w:rsid w:val="00BB2199"/>
    <w:rsid w:val="00BC38A9"/>
    <w:rsid w:val="00BD53B2"/>
    <w:rsid w:val="00BF1C9A"/>
    <w:rsid w:val="00C1370D"/>
    <w:rsid w:val="00D1200C"/>
    <w:rsid w:val="00D701AF"/>
    <w:rsid w:val="00DD420E"/>
    <w:rsid w:val="00EA1B70"/>
    <w:rsid w:val="00EE6E74"/>
    <w:rsid w:val="00F14D98"/>
    <w:rsid w:val="00F21468"/>
    <w:rsid w:val="00F33113"/>
    <w:rsid w:val="00FB225D"/>
    <w:rsid w:val="00FC6723"/>
    <w:rsid w:val="00FD0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40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40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40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7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788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1E01"/>
  </w:style>
  <w:style w:type="paragraph" w:styleId="a7">
    <w:name w:val="footer"/>
    <w:basedOn w:val="a"/>
    <w:link w:val="a8"/>
    <w:uiPriority w:val="99"/>
    <w:unhideWhenUsed/>
    <w:rsid w:val="00AE1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1E01"/>
  </w:style>
  <w:style w:type="paragraph" w:customStyle="1" w:styleId="ConsNormal">
    <w:name w:val="ConsNormal"/>
    <w:rsid w:val="009445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basedOn w:val="a0"/>
    <w:uiPriority w:val="99"/>
    <w:rsid w:val="009445DB"/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9445DB"/>
    <w:pPr>
      <w:ind w:left="720"/>
      <w:contextualSpacing/>
    </w:pPr>
  </w:style>
  <w:style w:type="paragraph" w:styleId="aa">
    <w:name w:val="No Spacing"/>
    <w:uiPriority w:val="1"/>
    <w:qFormat/>
    <w:rsid w:val="002C7B2B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ConsPlusNormal0">
    <w:name w:val="ConsPlusNormal Знак"/>
    <w:link w:val="ConsPlusNormal"/>
    <w:rsid w:val="002C7B2B"/>
    <w:rPr>
      <w:rFonts w:ascii="Calibri" w:eastAsia="Times New Roman" w:hAnsi="Calibri" w:cs="Calibri"/>
      <w:szCs w:val="20"/>
      <w:lang w:eastAsia="ru-RU"/>
    </w:rPr>
  </w:style>
  <w:style w:type="character" w:customStyle="1" w:styleId="ab">
    <w:name w:val="Основной текст_"/>
    <w:basedOn w:val="a0"/>
    <w:link w:val="3"/>
    <w:rsid w:val="002C7B2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rsid w:val="002C7B2B"/>
    <w:pPr>
      <w:widowControl w:val="0"/>
      <w:shd w:val="clear" w:color="auto" w:fill="FFFFFF"/>
      <w:spacing w:after="780" w:line="36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0"/>
    <w:rsid w:val="002C7B2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product-specvalue-inner1">
    <w:name w:val="product-spec__value-inner1"/>
    <w:basedOn w:val="a0"/>
    <w:rsid w:val="002C7B2B"/>
    <w:rPr>
      <w:vanish w:val="0"/>
      <w:webHidden w:val="0"/>
      <w:specVanish w:val="0"/>
    </w:rPr>
  </w:style>
  <w:style w:type="paragraph" w:styleId="ac">
    <w:name w:val="Body Text"/>
    <w:basedOn w:val="a"/>
    <w:link w:val="ad"/>
    <w:uiPriority w:val="99"/>
    <w:unhideWhenUsed/>
    <w:rsid w:val="00645594"/>
    <w:pPr>
      <w:spacing w:after="12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645594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7290C648CAD69C50FDB3B6A76ADAB63C879C23461AC6FCD3DC8617D7A2IBS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90C648CAD69C50FDB3B6A76ADAB63C879222451EC4FCD3DC8617D7A2IBS4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AF966-7766-407D-A579-28A9943B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isadicheva</cp:lastModifiedBy>
  <cp:revision>2</cp:revision>
  <cp:lastPrinted>2016-05-23T12:12:00Z</cp:lastPrinted>
  <dcterms:created xsi:type="dcterms:W3CDTF">2020-03-23T11:12:00Z</dcterms:created>
  <dcterms:modified xsi:type="dcterms:W3CDTF">2020-03-23T11:12:00Z</dcterms:modified>
</cp:coreProperties>
</file>