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F4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71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B3F" w:rsidRPr="007103F4">
        <w:rPr>
          <w:rFonts w:ascii="Times New Roman" w:hAnsi="Times New Roman" w:cs="Times New Roman"/>
          <w:b/>
          <w:sz w:val="28"/>
          <w:szCs w:val="28"/>
        </w:rPr>
        <w:t>№</w:t>
      </w:r>
      <w:r w:rsidR="00250323" w:rsidRPr="007103F4">
        <w:rPr>
          <w:rFonts w:ascii="Times New Roman" w:hAnsi="Times New Roman" w:cs="Times New Roman"/>
          <w:b/>
          <w:sz w:val="28"/>
          <w:szCs w:val="28"/>
        </w:rPr>
        <w:t>01-18/</w:t>
      </w:r>
      <w:r w:rsidR="007103F4" w:rsidRPr="007103F4">
        <w:rPr>
          <w:rFonts w:ascii="Times New Roman" w:hAnsi="Times New Roman" w:cs="Times New Roman"/>
          <w:b/>
          <w:sz w:val="28"/>
          <w:szCs w:val="28"/>
        </w:rPr>
        <w:t>9</w:t>
      </w:r>
      <w:r w:rsidR="00250323" w:rsidRPr="007103F4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7103F4" w:rsidRPr="007103F4">
        <w:rPr>
          <w:rFonts w:ascii="Times New Roman" w:hAnsi="Times New Roman" w:cs="Times New Roman"/>
          <w:b/>
          <w:sz w:val="28"/>
          <w:szCs w:val="28"/>
        </w:rPr>
        <w:t>31</w:t>
      </w:r>
      <w:r w:rsidR="00250323" w:rsidRPr="007103F4">
        <w:rPr>
          <w:rFonts w:ascii="Times New Roman" w:hAnsi="Times New Roman" w:cs="Times New Roman"/>
          <w:b/>
          <w:sz w:val="28"/>
          <w:szCs w:val="28"/>
        </w:rPr>
        <w:t>»</w:t>
      </w:r>
      <w:r w:rsidR="0068057A" w:rsidRPr="0071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F4" w:rsidRPr="007103F4">
        <w:rPr>
          <w:rFonts w:ascii="Times New Roman" w:hAnsi="Times New Roman" w:cs="Times New Roman"/>
          <w:b/>
          <w:sz w:val="28"/>
          <w:szCs w:val="28"/>
        </w:rPr>
        <w:t>ма</w:t>
      </w:r>
      <w:r w:rsidR="00EE4CDA" w:rsidRPr="007103F4">
        <w:rPr>
          <w:rFonts w:ascii="Times New Roman" w:hAnsi="Times New Roman" w:cs="Times New Roman"/>
          <w:b/>
          <w:sz w:val="28"/>
          <w:szCs w:val="28"/>
        </w:rPr>
        <w:t>я</w:t>
      </w:r>
      <w:r w:rsidR="0068057A" w:rsidRPr="0071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323" w:rsidRPr="007103F4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3665">
        <w:rPr>
          <w:rFonts w:ascii="Times New Roman" w:hAnsi="Times New Roman" w:cs="Times New Roman"/>
          <w:sz w:val="28"/>
          <w:szCs w:val="28"/>
        </w:rPr>
        <w:t>Некрасовского</w:t>
      </w:r>
      <w:r w:rsidRPr="00EE4CDA">
        <w:rPr>
          <w:rFonts w:ascii="Times New Roman" w:hAnsi="Times New Roman" w:cs="Times New Roman"/>
          <w:sz w:val="28"/>
          <w:szCs w:val="28"/>
        </w:rPr>
        <w:t xml:space="preserve"> сельского поселения ЯМР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2018 год</w:t>
      </w:r>
    </w:p>
    <w:p w:rsidR="003A1404" w:rsidRPr="005C3665" w:rsidRDefault="0014556A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3A1404" w:rsidRPr="00003C0B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проверки: </w:t>
      </w:r>
      <w:r w:rsidR="00A2482D" w:rsidRPr="00003C0B">
        <w:rPr>
          <w:rFonts w:ascii="Times New Roman" w:eastAsia="Times New Roman" w:hAnsi="Times New Roman" w:cs="Times New Roman"/>
          <w:sz w:val="28"/>
          <w:szCs w:val="28"/>
        </w:rPr>
        <w:t>ст. 157, 264.4 Бюджетного кодекса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РФ, ст. 9 Федерального закона от 07.02.2011 № 6-ФЗ, ст. 8 Положения о Контрольно-счетной палате ЯМР, утвержденного Решением Муниципального Совета ЯМР № 52 от 27.10.2011г., Решени</w:t>
      </w:r>
      <w:r w:rsidR="00003C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Некрасовского сельского поселения ЯМР ЯО от 26.12.2018 № 48 «О передаче полномочий по осуществлению внешнего финансового контроля на 2019 год»,  Решени</w:t>
      </w:r>
      <w:r w:rsidR="00003C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ЯМР от</w:t>
      </w:r>
      <w:proofErr w:type="gramEnd"/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25.12.2018г. №  98 «О принятии полномочий по осуществлению внешнего муниципального финансового контроля на 2019 год», п. 3.1.6 Плана работы Контрольно-счётной палаты ЯМР на 2019 год, программ</w:t>
      </w:r>
      <w:r w:rsidR="00003C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утвержденн</w:t>
      </w:r>
      <w:r w:rsidR="00003C0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приказом Председателя Контрольно-счётной палаты ЯМР №22 от 01.04.2019г., удостоверени</w:t>
      </w:r>
      <w:r w:rsidR="00003C0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482D" w:rsidRPr="00A2482D">
        <w:rPr>
          <w:rFonts w:ascii="Times New Roman" w:eastAsia="Times New Roman" w:hAnsi="Times New Roman" w:cs="Times New Roman"/>
          <w:sz w:val="28"/>
          <w:szCs w:val="28"/>
        </w:rPr>
        <w:t xml:space="preserve"> №15 от 01.04.2019г.</w:t>
      </w:r>
    </w:p>
    <w:p w:rsidR="003A1404" w:rsidRPr="005C3665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003C0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003C0B" w:rsidRPr="00003C0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 Муниципального Совета Некрасовского сельского поселения ЯМР ЯО от 20.12.2017 № 41 «Об утверждении   бюджета Некрасовского  сельского  поселения Ярославского муниципального района  Ярославской области  </w:t>
      </w:r>
      <w:proofErr w:type="gramStart"/>
      <w:r w:rsidR="00003C0B" w:rsidRPr="00003C0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03C0B" w:rsidRPr="00003C0B">
        <w:rPr>
          <w:rFonts w:ascii="Times New Roman" w:eastAsia="Times New Roman" w:hAnsi="Times New Roman" w:cs="Times New Roman"/>
          <w:sz w:val="28"/>
          <w:szCs w:val="28"/>
        </w:rPr>
        <w:t xml:space="preserve"> 2018 и плановый период 2019-2020 годы» (с изменениями), выявление возможных нарушений, недостатков и их последствий.</w:t>
      </w:r>
    </w:p>
    <w:p w:rsidR="003A1404" w:rsidRPr="008F607D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8F607D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8F607D" w:rsidRPr="008F607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0E32" w:rsidRPr="008F607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 xml:space="preserve">.2019 – </w:t>
      </w:r>
      <w:r w:rsidR="008F607D" w:rsidRPr="008F607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10E32" w:rsidRPr="008F607D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8F607D">
        <w:rPr>
          <w:rFonts w:ascii="Times New Roman" w:eastAsia="Times New Roman" w:hAnsi="Times New Roman" w:cs="Times New Roman"/>
          <w:sz w:val="28"/>
          <w:szCs w:val="28"/>
        </w:rPr>
        <w:t>.2019 гг.</w:t>
      </w:r>
    </w:p>
    <w:p w:rsidR="00355BF9" w:rsidRPr="008F607D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07D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8F6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8F607D">
        <w:rPr>
          <w:rFonts w:ascii="Times New Roman" w:eastAsia="Courier New" w:hAnsi="Times New Roman" w:cs="Times New Roman"/>
          <w:color w:val="000000"/>
          <w:sz w:val="28"/>
          <w:szCs w:val="28"/>
        </w:rPr>
        <w:t>2018 г.</w:t>
      </w:r>
    </w:p>
    <w:p w:rsidR="003A1404" w:rsidRPr="00645DC2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645D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D265D8" w:rsidRPr="00645DC2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645DC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645DC2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45DC2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645DC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45DC2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45DC2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645DC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645DC2" w:rsidRDefault="00177EFA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645DC2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645DC2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645DC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645DC2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45DC2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645DC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/>
      </w:tblPr>
      <w:tblGrid>
        <w:gridCol w:w="533"/>
        <w:gridCol w:w="2552"/>
        <w:gridCol w:w="992"/>
        <w:gridCol w:w="1418"/>
        <w:gridCol w:w="563"/>
        <w:gridCol w:w="3973"/>
      </w:tblGrid>
      <w:tr w:rsidR="00B75204" w:rsidRPr="00645DC2" w:rsidTr="005666D5">
        <w:tc>
          <w:tcPr>
            <w:tcW w:w="10031" w:type="dxa"/>
            <w:gridSpan w:val="6"/>
          </w:tcPr>
          <w:p w:rsidR="00B75204" w:rsidRPr="00645DC2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645DC2" w:rsidTr="008B083A">
        <w:tc>
          <w:tcPr>
            <w:tcW w:w="3085" w:type="dxa"/>
            <w:gridSpan w:val="2"/>
          </w:tcPr>
          <w:p w:rsidR="00500F0A" w:rsidRPr="00645DC2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2410" w:type="dxa"/>
            <w:gridSpan w:val="2"/>
          </w:tcPr>
          <w:p w:rsidR="00500F0A" w:rsidRPr="00645DC2" w:rsidRDefault="00645DC2" w:rsidP="00BD12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13 от 23.04.2019г</w:t>
            </w:r>
            <w:r w:rsidR="00500F0A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645DC2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645D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645DC2" w:rsidTr="008B083A">
        <w:tc>
          <w:tcPr>
            <w:tcW w:w="5495" w:type="dxa"/>
            <w:gridSpan w:val="4"/>
          </w:tcPr>
          <w:p w:rsidR="00B75204" w:rsidRPr="00645DC2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645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645DC2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645DC2" w:rsidTr="008B083A">
        <w:tc>
          <w:tcPr>
            <w:tcW w:w="5495" w:type="dxa"/>
            <w:gridSpan w:val="4"/>
          </w:tcPr>
          <w:p w:rsidR="005666D5" w:rsidRPr="00645DC2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645DC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645DC2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C2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000F85" w:rsidTr="008B083A">
        <w:tc>
          <w:tcPr>
            <w:tcW w:w="5495" w:type="dxa"/>
            <w:gridSpan w:val="4"/>
            <w:vAlign w:val="center"/>
          </w:tcPr>
          <w:p w:rsidR="00D47BDA" w:rsidRPr="00000F85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000F85" w:rsidRDefault="00000F85" w:rsidP="006D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23 502,8</w:t>
            </w:r>
            <w:r w:rsidR="00B86467" w:rsidRPr="0000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00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gramStart"/>
            <w:r w:rsidR="00B86467" w:rsidRPr="0000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.р</w:t>
            </w:r>
            <w:proofErr w:type="gramEnd"/>
            <w:r w:rsidR="00B86467" w:rsidRPr="0000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</w:t>
            </w:r>
            <w:proofErr w:type="spellEnd"/>
            <w:r w:rsidR="00B86467" w:rsidRPr="00000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000F85" w:rsidTr="006837DD">
        <w:tc>
          <w:tcPr>
            <w:tcW w:w="10031" w:type="dxa"/>
            <w:gridSpan w:val="6"/>
            <w:vAlign w:val="center"/>
          </w:tcPr>
          <w:p w:rsidR="00A07FE7" w:rsidRPr="00000F85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0F85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000F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0501CF" w:rsidTr="005666D5">
        <w:tc>
          <w:tcPr>
            <w:tcW w:w="533" w:type="dxa"/>
          </w:tcPr>
          <w:p w:rsidR="00972B92" w:rsidRPr="000501C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0501C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0501C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0501CF" w:rsidTr="005666D5">
        <w:tc>
          <w:tcPr>
            <w:tcW w:w="533" w:type="dxa"/>
          </w:tcPr>
          <w:p w:rsidR="001A43CD" w:rsidRPr="000501C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0501C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050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0501C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0501C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54" w:type="dxa"/>
            <w:gridSpan w:val="3"/>
            <w:vAlign w:val="center"/>
          </w:tcPr>
          <w:p w:rsidR="001A43CD" w:rsidRPr="000501CF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0501C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D656B2" w:rsidTr="005666D5">
        <w:tc>
          <w:tcPr>
            <w:tcW w:w="533" w:type="dxa"/>
          </w:tcPr>
          <w:p w:rsidR="00574C44" w:rsidRPr="00D656B2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2A2968" w:rsidRPr="00D656B2" w:rsidRDefault="00574C44" w:rsidP="00AF78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D656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  <w:r w:rsidR="0076639F" w:rsidRPr="00D656B2">
              <w:rPr>
                <w:rFonts w:ascii="Times New Roman" w:hAnsi="Times New Roman" w:cs="Times New Roman"/>
                <w:i/>
                <w:sz w:val="24"/>
                <w:szCs w:val="24"/>
              </w:rPr>
              <w:t>(п. 2.4 Классификатора нарушений)</w:t>
            </w:r>
          </w:p>
          <w:p w:rsidR="005B6196" w:rsidRPr="00D656B2" w:rsidRDefault="005B6196" w:rsidP="00AF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C44" w:rsidRPr="00D656B2" w:rsidRDefault="00D53228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3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2968" w:rsidRPr="00D6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D656B2" w:rsidRPr="00D656B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574C44" w:rsidRPr="00D656B2" w:rsidRDefault="000501CF" w:rsidP="002C6B24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В МУ «Центр благоустройства и социального развития» НСП ЯМР годовая инвентаризация проведена без распорядительного акта (приказа) руководителя.</w:t>
            </w:r>
          </w:p>
          <w:p w:rsidR="002C6B24" w:rsidRPr="00D656B2" w:rsidRDefault="002C6B24" w:rsidP="002C6B24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п.7 Инструкции 191н, п. 3 ст. 11 Федерального закона от 06.12.2011 N 402-ФЗ "О бухгалтерском учете", п.1.5 Методических указаний по инвентаризации имущества и финансовых обязательств, утвержденных Приказом Минфина РФ от 13.06.1995 N 49,  в МУ «Михайловский КСЦ ЯМР» в целях составления годовой бюджетной отчетности не проведена обязательная инвентаризация активов и обязательств. </w:t>
            </w:r>
            <w:proofErr w:type="gramEnd"/>
          </w:p>
          <w:p w:rsidR="002C6B24" w:rsidRPr="00D656B2" w:rsidRDefault="002C6B24" w:rsidP="002C6B24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В нарушение ст. 11 Федерального закона от 06.12.2011 № 402-ФЗ «О бухгалтерском учете», п.7 Инструкции 191н, Методических указаний по инвентаризации имущества и финансовых обязательств, утвержденных Приказом Минфина РФ от 13.06.1995 N 49, Администрацией Некрасовского сельского поселения ЯМР (далее – Администрация) и МУ «Центр благоустройства и социального развития» НСП ЯМР не в полном объеме проведена инвентаризация финансовых обязательств (отсутствует инвентаризация резервов предстоящих</w:t>
            </w:r>
            <w:proofErr w:type="gramEnd"/>
            <w:r w:rsidRPr="00D656B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доходов будущих периодов) и не в полном объеме проведена инвентаризация имущества (отсутствует инвентаризация расходов будущих периодов, нефинансовые активы имущества казны, финансовых вложений). </w:t>
            </w:r>
          </w:p>
          <w:p w:rsidR="002C6B24" w:rsidRPr="00D656B2" w:rsidRDefault="002C6B24" w:rsidP="002C6B24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t>В нарушение 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N 52н, по результатам инвентаризаций не составлен акт о результатах инвентаризации (ф. 0504835).</w:t>
            </w:r>
          </w:p>
          <w:p w:rsidR="002C6B24" w:rsidRPr="00D656B2" w:rsidRDefault="002C6B24" w:rsidP="002C6B24">
            <w:pPr>
              <w:pStyle w:val="a7"/>
              <w:numPr>
                <w:ilvl w:val="0"/>
                <w:numId w:val="4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нарушение п.6 Федерального стандарта бухгалтерского учета для организаций государственного сектора "Обесценение активов", утвержденного Приказом Минфина России от 31.12.2016 N 259н, активы не проанализированы на наличие признаков обесценения - запись "признаков обесценения объектов нефинансовых активов не выявлено" в акте о результатах инвентаризации (ф. 0504835) отсутствует.</w:t>
            </w:r>
          </w:p>
        </w:tc>
      </w:tr>
      <w:tr w:rsidR="00DE3391" w:rsidRPr="001C09E1" w:rsidTr="005666D5">
        <w:tc>
          <w:tcPr>
            <w:tcW w:w="533" w:type="dxa"/>
          </w:tcPr>
          <w:p w:rsidR="00DE3391" w:rsidRPr="001C09E1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gridSpan w:val="2"/>
          </w:tcPr>
          <w:p w:rsidR="00DE3391" w:rsidRPr="001C09E1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1C09E1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1C09E1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1C09E1" w:rsidTr="005666D5">
        <w:tc>
          <w:tcPr>
            <w:tcW w:w="533" w:type="dxa"/>
          </w:tcPr>
          <w:p w:rsidR="000D0D8F" w:rsidRPr="001C09E1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2"/>
          </w:tcPr>
          <w:p w:rsidR="000D0D8F" w:rsidRPr="001C09E1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5954" w:type="dxa"/>
            <w:gridSpan w:val="3"/>
            <w:vAlign w:val="center"/>
          </w:tcPr>
          <w:p w:rsidR="000D0D8F" w:rsidRPr="001C09E1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C3665" w:rsidTr="005666D5">
        <w:tc>
          <w:tcPr>
            <w:tcW w:w="533" w:type="dxa"/>
          </w:tcPr>
          <w:p w:rsidR="00DC4F71" w:rsidRPr="001C09E1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2"/>
          </w:tcPr>
          <w:p w:rsidR="00DC4F71" w:rsidRPr="001C09E1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1C09E1">
              <w:t xml:space="preserve"> 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1C09E1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E1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1C09E1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C3665" w:rsidTr="005666D5">
        <w:tc>
          <w:tcPr>
            <w:tcW w:w="533" w:type="dxa"/>
          </w:tcPr>
          <w:p w:rsidR="0056046D" w:rsidRPr="00FD08C3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gridSpan w:val="2"/>
          </w:tcPr>
          <w:p w:rsidR="00990E6E" w:rsidRPr="00FD08C3" w:rsidRDefault="002C2534" w:rsidP="00990E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FD0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E6E" w:rsidRPr="00FD08C3">
              <w:rPr>
                <w:rFonts w:ascii="Times New Roman" w:hAnsi="Times New Roman" w:cs="Times New Roman"/>
                <w:i/>
                <w:sz w:val="24"/>
                <w:szCs w:val="24"/>
              </w:rPr>
              <w:t>(п. 2.9 Классификатора нарушений)</w:t>
            </w:r>
          </w:p>
          <w:p w:rsidR="00730889" w:rsidRPr="00FD08C3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FD08C3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4D2" w:rsidRPr="00FD08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0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0424D2" w:rsidRPr="00FD08C3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2C2534" w:rsidRPr="00466B58" w:rsidRDefault="002C2534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В нарушение п. 162 Инструкции 191н в графе 5 «Причины изменений» Сведений об изменениях бюджетной росписи главного распорядителя бюджетных средств, главного администратора источников финансирования дефицита бюджета (ф. 0503163) не отражены причины вносимых изменений.</w:t>
            </w:r>
          </w:p>
          <w:p w:rsidR="00822571" w:rsidRPr="00466B58" w:rsidRDefault="00822571" w:rsidP="00822571">
            <w:pPr>
              <w:pStyle w:val="a7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В нарушение п.158 Инструкции 191н факт проведения годовой инвентаризации не отражен в текстовой части раздела 5 "Прочие вопросы деятельности субъекта бюджетной отчетности" Пояснительной записки (ф. 0503160).</w:t>
            </w:r>
          </w:p>
          <w:p w:rsidR="00526F77" w:rsidRPr="00466B58" w:rsidRDefault="00526F77" w:rsidP="00526F77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по заполнению </w:t>
            </w:r>
            <w:r w:rsidRPr="00466B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пояснительной записки, влияющие на информативность бюджетной отчетности:</w:t>
            </w:r>
          </w:p>
          <w:p w:rsidR="00466B58" w:rsidRPr="00466B58" w:rsidRDefault="00466B58" w:rsidP="0046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- в нарушение п.158 Инструкции 191н в составе пояснительной записки заполнена Таблица №6 «Сведения о проведении инвентаризаций» при отсутствии расхождений по результатам инвентаризации, проведенной в целях подтверждения показателей годовой бюджетной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B58" w:rsidRPr="00466B58" w:rsidRDefault="00466B58" w:rsidP="0046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- не заполнена графа 9 «Пояснения» ф.0503164 по КБК 20229999100000151 в связи с исполнением менее 95% от плановых назначений по доходам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пояснены причины неисполнения</w:t>
            </w: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6B58" w:rsidRPr="00466B58" w:rsidRDefault="00466B58" w:rsidP="0046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- в разделе 2 «Сведения о просроченной задолженности» ф.0503169 (дебиторской задолженности) не заполнены графы 3, 4 (дата: возникновения,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олнения по правовому основанию)</w:t>
            </w: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F77" w:rsidRPr="00466B58" w:rsidRDefault="00466B58" w:rsidP="00466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8">
              <w:rPr>
                <w:rFonts w:ascii="Times New Roman" w:hAnsi="Times New Roman" w:cs="Times New Roman"/>
                <w:sz w:val="24"/>
                <w:szCs w:val="24"/>
              </w:rPr>
              <w:t>- в разделе 4 «Анализ показателей отчетности учреждения» пояснительной записки не указаны причины образования просроченной дебит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 задолженности по доходам</w:t>
            </w:r>
            <w:r w:rsidR="00526F77" w:rsidRPr="00466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046D" w:rsidRPr="00FD08C3" w:rsidTr="005666D5">
        <w:tc>
          <w:tcPr>
            <w:tcW w:w="533" w:type="dxa"/>
          </w:tcPr>
          <w:p w:rsidR="0056046D" w:rsidRPr="00FD08C3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gridSpan w:val="2"/>
          </w:tcPr>
          <w:p w:rsidR="0056046D" w:rsidRPr="00FD08C3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vAlign w:val="center"/>
          </w:tcPr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доходам составило в 2018 году 75,7% от уточненных плановых бюджетных назначений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Сумма поступлений по налоговым и неналоговым доходам составила 12 867,2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(63,1% к уточненному плану), по безвозмездным поступлениям – 12 151,5 тыс.руб. или 96,1% к уточненному плану.</w:t>
            </w:r>
          </w:p>
          <w:p w:rsidR="00C86638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В структуре налоговых и неналоговых доходов бюджета поселения основным доходным источником является земельный налог – 75,4% от общего объема фактически поступивших налоговых и неналоговых доходов.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Из всех налоговых и неналоговых доходов бюджета поселения выполнение менее 95% от утвержденных назначений наблюдается по следующим кодам бюджетной классификации (КБК):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налог на доходы физических лиц – общее невыполнение по шести неисполненным КБК (10102010013000110, 10102010014000110, 10102020012100110, 10102020013000110, 10102030012100110, 10102030013000110) составило 3,2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и прямогонный бензин – общее невыполнение по КБК 10302240010000110, 10302260010000110 составило 64,3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изменением норматива зачисления акцизов;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налог на имущество физических лиц – общее невыполнение по двум КБК 10601030102100110, 10601030104000110 составило 38,9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налог – общее невыполнение по пяти КБК 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10606033101000110, 10606033102100110, 10606033103000110, 10606043102100110, 10606043104000110 2 274,3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неоплатой налога плательщиками;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доходы от организации и проведения культурно-массовых мероприятий – неисполнение по КБК 11301995100013130 в сумме 92,5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по причине снижения посещаемости дискотек;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доходы от оказания банных услуг – неисполнение по КБК 11301995100023130 в сумме 380,6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по причине снижения посещаемости бани;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доходы от реализации иного имущества, находящегося в собственности сельских поселений - неисполнение по КБК 11402053100000410 в сумме 5</w:t>
            </w:r>
            <w:r w:rsidR="00483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000,0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отсутствием покупателя на объект;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 составили менее 95% по субсидии на поддержку муниципальных программ формирования современной городской среды КБК 20229999100000151 – неисполнение 409,1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экономией по результатам конкурсных процедур.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Исполнение бюджета по расходам составило 70,8% от уточненных плановых бюджетных ассигнований, не исполнено бюджетных назначений в объеме 9 705,0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сполнение утвержденных назначений по расходам менее 95% произошло: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расходам на содержание главы Некрасовского сельского поселения по КБК 01025000068010 – неисполнение 57,3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 связи с экономией фонда оплаты труда;  страховые взносы во внебюджетные фонды в сумме 2,9 тыс.руб. на заработную плату за декабрь 2018г. оплачены в январе 2019 года;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расходам на содержание аппарата Администрации по КБК 01045000068030 – неисполнение 320,1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с  образованием кредиторской задолженности в связи с недостаточным поступлением доходной части бюджета;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резервным средствам неисполнение на сумму 45,0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другим общегосударственным расходам КБК 01135000068060 неисполнение 473,7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– в связи с недостаточным поступлением доходной части бюджета образовалась кредиторская задолженность в размере 249,6 тыс.руб.; на сумму 224,1 тыс.руб. договоры не заключались;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обеспечению безопасности граждан на водных объектах КБК 03091010148060 – оплата работ «по факту» на основании актов выполненных работ, договоры на сумму 10,1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не заключались;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реализация мероприятий по укреплению пожарной безопасности в населенных пунктах на территории Некрасовского СП КБК 03101020148170 - в связи с недостаточным поступлением доходной части бюджета образовалась кредиторская задолженность в размере 8,9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уб.; обязательства на сумму 61,8 тыс.руб. не принимались;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на выполнение программы по сохранности автомобильных дорог Некрасовского СП КБК 04092410148160  неисполнение 467,2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 в размере 162,6 тыс.руб.; по результатам проведения конкурсных процедур сложилась экономия 304,6 тыс.руб.;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субсидии на формирование современной городской среды за счет местного бюджета КБК 040939101L5550 – неисполнение 221,1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образованием экономии по результатам проведения конкурсных процедур;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проведению капитального ремонта домов КБК 05011410148050 неисполнение 683,1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 по взносам на капремонт в размере 514,3 тыс.руб.;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реализации мероприятий по переселению граждан на территории Некрасовского СП из жилищного фонда, признанного непригодным для проживания, КБК 05010520148080 неисполнение 1 011,0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обязательства не принимались;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содержанию бани КБК 05021410548150 неисполнение 1 261,7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 в размере 819,4 тыс.руб.;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проведению капитального ремонта домов КБК 05031410148050 неисполнение 76,4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обязательства не принимались;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благоустройству дворовых и общественных пространств в муниципальных образованиях ЯО, на территориях которых располагаются полигоны твердых бытовых отходов, за счет средств местного бюджета КБК 05031410246260 неисполнение 21,5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расходам на благоустройство КБК 05031410248110 неисполнение 1 342,9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 xml:space="preserve">- по уличному освещению КБК 05031410248140 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неисполнение 111,2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КБК 05031410276260 благоустройство дворовых и общественных пространств в муниципальных образованиях ЯО, на территориях которых  располагаются полигоны твердых бытовых отходов, за счет средств местного бюджета неисполнение 407,8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– в связи с образованием экономии по результатам проведения конкурсных процедур;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МУ «Центр благоустройства и социального развития» НСП ЯМР КБК 05051410248120 неисполнение 1 573,8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- в связи с недостаточным поступлением доходной части бюджета образовалась кредиторская задолженность в размере 935,7 тыс.руб.;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проведению мероприятий для детей и молодежи КБК 07072110148190 неисполнение 50,0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 обязательства не принимались;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обеспечению деятельности МУ «Михайловский КСЦ ЯМР»</w:t>
            </w: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КБК 08011110148120 неисполнение 1 262,5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 образовалась кредиторская задолженность;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межбюджетным трансфертам на передачу осуществления части полномочий в сфере культуры КБК 08011110148250 неисполнение 66,1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доплате к пенсии муниципальных служащих КБК 10012110148260 неисполнение 7,5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9405D" w:rsidRPr="00E9405D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проведению мероприятий по спорту КБК 11012110148180 неисполнение 30,0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недостаточным поступлением доходной части бюджета обязательства не принимались;</w:t>
            </w:r>
          </w:p>
          <w:p w:rsidR="00E9405D" w:rsidRPr="00FD08C3" w:rsidRDefault="00E9405D" w:rsidP="00E9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- по процентным платежам по муниципальному долгу КБК 13012120148200 неисполнение 129,5 тыс</w:t>
            </w:r>
            <w:proofErr w:type="gramStart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405D">
              <w:rPr>
                <w:rFonts w:ascii="Times New Roman" w:hAnsi="Times New Roman" w:cs="Times New Roman"/>
                <w:sz w:val="24"/>
                <w:szCs w:val="24"/>
              </w:rPr>
              <w:t>уб. в связи с неверным расчетом процентных платежей.</w:t>
            </w:r>
          </w:p>
        </w:tc>
      </w:tr>
      <w:tr w:rsidR="00E40FFD" w:rsidRPr="005C3665" w:rsidTr="005666D5">
        <w:tc>
          <w:tcPr>
            <w:tcW w:w="533" w:type="dxa"/>
          </w:tcPr>
          <w:p w:rsidR="00E40FFD" w:rsidRPr="00FD08C3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544" w:type="dxa"/>
            <w:gridSpan w:val="2"/>
          </w:tcPr>
          <w:p w:rsidR="00E40FFD" w:rsidRPr="00FD08C3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C3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5954" w:type="dxa"/>
            <w:gridSpan w:val="3"/>
            <w:vAlign w:val="center"/>
          </w:tcPr>
          <w:p w:rsidR="00453E98" w:rsidRDefault="00CB4E80" w:rsidP="00453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В годовой бюджетной отчетности за 2018 год показатель дебиторской задолженности на начало 2018г. отличается от показателя на конец 2017г. в связи с применением новых стандартов бухгалтерского учета: увеличение на 203,9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дебиторской задолженности основную долю 95,9% занимает задолженность по доходам, в т.ч.: 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- по земельному налогу 7 874,9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физических лиц 1 007,0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- по доходам от сдачи в аренду имущества 204,5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 xml:space="preserve">- по земельному налогу (по обязательствам, возникшим </w:t>
            </w:r>
            <w:r w:rsidRPr="00CB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01.01.2006г.) 0,1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B4E80" w:rsidRP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97,7% дебиторской задолженности по доходам является просроченной в связи с низкой платежной дисциплиной плательщиков.</w:t>
            </w:r>
          </w:p>
          <w:p w:rsidR="00CB4E80" w:rsidRDefault="00CB4E80" w:rsidP="00CB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4E80">
              <w:rPr>
                <w:rFonts w:ascii="Times New Roman" w:hAnsi="Times New Roman" w:cs="Times New Roman"/>
                <w:sz w:val="24"/>
                <w:szCs w:val="24"/>
              </w:rPr>
              <w:t xml:space="preserve"> 2018 году общая дебиторская задолженность по сравнению с предыдущим годом снизилась на 860,8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 или на 8,3%. Основное влияние оказало сокращение задолженности плательщиков налогов. В результате установлено снижение просроченной задолженности по доходам на 836,1 тыс</w:t>
            </w:r>
            <w:proofErr w:type="gramStart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E80">
              <w:rPr>
                <w:rFonts w:ascii="Times New Roman" w:hAnsi="Times New Roman" w:cs="Times New Roman"/>
                <w:sz w:val="24"/>
                <w:szCs w:val="24"/>
              </w:rPr>
              <w:t>уб. или на 8,6%.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По счету 303 «Расчеты по платежам в бюджеты» в сумме 134,7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 – расходы на выплату пособий за счет страховых взносов на обязательное социальное страхование на случай временной нетрудоспособности и в связи с материнством на сумму 57,3 тыс.руб.; страховые взносы на обязательное медицинское страхование в Федеральный ФОМС 41,0 тыс.руб.; страховые взносы на обязательное пенсионное страхование на выплату страховой части трудовой пенсии 36,3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С целью повышения качества дебиторской задолженности, рекомендуется принять меры по возмещению произведенных расходов из Фонда социального страхования за периоды до 01.01.2019г.</w:t>
            </w:r>
          </w:p>
          <w:p w:rsidR="00CB4E80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состояния дебиторской задолженности свидетельствует о недостаточных мерах по предотвращению причин ее образования. Администрации необходимо активизировать работу по погашению дебиторской задолженности.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бщий размер кредиторской задолженности по состоянию на 01.01.2019г. составил 10 862,7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t xml:space="preserve"> 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в 2018 году общая кредиторская задолженность по сравнению с предыдущим годом увеличилась на 2</w:t>
            </w:r>
            <w:r w:rsidR="004832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274,8 тыс.руб. или на 26,5%. Рост задолженности наблюдается по расчетам с поставщиками, подрядчиками, исполнителями и по платежам в бюджеты.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Основную долю (53,1%) кредиторской задолженности на 01.01.2019г.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тавляет задолженность по счету 205 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«Расчеты по доходам» в  размере 5 769,4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От общего объема кредиторской задолженности на 01.01.2019г. 35,2% составляет задолженность по счету 1 302 00 «Расчеты по принятым обязательствам» в размере 3 827,3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уб., в том числе просроченная на сумму 2 820,6 тыс.руб.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По сравнению с 01.01.2018г. наблюдается существенный рост задолженности по принятым обязательствам – на 72,5%, при этом рост просроченной задолженности – в 1,4 раза.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Образовавшаяся просроченная кредиторская задолженность связана с невыполнением договорных 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перед подрядчиками (поставщиками, исполнителями) за выполненные работы, поставленные товары и оказанные услуги.</w:t>
            </w:r>
          </w:p>
          <w:p w:rsid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Причиной образования кредиторской задолженности, в том числе просроченной, является недостаточное поступление в бюджет Некрасовского сельского поселения доходов.</w:t>
            </w:r>
          </w:p>
          <w:p w:rsidR="00E117FE" w:rsidRPr="00FD08C3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В 2018 году наблюдается существенный рост задолженности по счету 1 303 00 «Расчеты по платежам в бюджеты» в 2,7 раза, в том числе с образование просроченной задолженности в размере 367,0 тыс</w:t>
            </w:r>
            <w:proofErr w:type="gramStart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84805" w:rsidRPr="005C3665" w:rsidTr="005666D5">
        <w:tc>
          <w:tcPr>
            <w:tcW w:w="10031" w:type="dxa"/>
            <w:gridSpan w:val="6"/>
          </w:tcPr>
          <w:p w:rsidR="00384805" w:rsidRPr="00E117F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E117F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C3665" w:rsidTr="005666D5">
        <w:tc>
          <w:tcPr>
            <w:tcW w:w="10031" w:type="dxa"/>
            <w:gridSpan w:val="6"/>
          </w:tcPr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внешней проверки годовой бюджетной отчетности свидетельствуют, что представленная Администрацией бюджетная отчетность, в качестве главного администратора бюджетных средств, отвечает требованиям Бюджетного кодекса Российской Федерации, Инструкции №191н.</w:t>
            </w:r>
          </w:p>
          <w:p w:rsidR="00E117FE" w:rsidRPr="00E117FE" w:rsidRDefault="00E117FE" w:rsidP="00E1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недостатков в бюджетном учете и бюджетной отчетности, выявленных в ходе проверки, указывают на недостаточный внутренний финансовый контроль и внутренний финансовый аудит, осуществление которого предусмотрено статьей 160.2.-1. Бюджетного кодекса РФ.</w:t>
            </w:r>
          </w:p>
          <w:p w:rsidR="007C0D2A" w:rsidRPr="005C3665" w:rsidRDefault="00E117FE" w:rsidP="00E117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7FE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Администрации за 2018 год.</w:t>
            </w:r>
          </w:p>
        </w:tc>
      </w:tr>
      <w:tr w:rsidR="00FD451B" w:rsidRPr="00526E39" w:rsidTr="005666D5">
        <w:tc>
          <w:tcPr>
            <w:tcW w:w="10031" w:type="dxa"/>
            <w:gridSpan w:val="6"/>
          </w:tcPr>
          <w:p w:rsidR="00FD451B" w:rsidRPr="00526E39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26E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526E39" w:rsidTr="005666D5">
        <w:tc>
          <w:tcPr>
            <w:tcW w:w="6058" w:type="dxa"/>
            <w:gridSpan w:val="5"/>
          </w:tcPr>
          <w:p w:rsidR="00FD451B" w:rsidRPr="00526E39" w:rsidRDefault="00FD451B" w:rsidP="00A84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палатой ЯМР по итогам проверки направлен </w:t>
            </w:r>
            <w:r w:rsidR="00A84D49" w:rsidRPr="00526E39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526E39" w:rsidRDefault="00526E39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51B"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9255B7" w:rsidTr="00CF2004">
        <w:tc>
          <w:tcPr>
            <w:tcW w:w="6058" w:type="dxa"/>
            <w:gridSpan w:val="5"/>
          </w:tcPr>
          <w:p w:rsidR="00526E39" w:rsidRPr="009255B7" w:rsidRDefault="00526E39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Главе Ярославского муниципального района</w:t>
            </w:r>
          </w:p>
        </w:tc>
        <w:tc>
          <w:tcPr>
            <w:tcW w:w="3973" w:type="dxa"/>
            <w:vAlign w:val="center"/>
          </w:tcPr>
          <w:p w:rsidR="00526E39" w:rsidRPr="009255B7" w:rsidRDefault="00526E39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01-22/98 от 03.06.2019г.</w:t>
            </w:r>
          </w:p>
        </w:tc>
      </w:tr>
      <w:tr w:rsidR="00526E39" w:rsidRPr="009255B7" w:rsidTr="00CF2004">
        <w:tc>
          <w:tcPr>
            <w:tcW w:w="6058" w:type="dxa"/>
            <w:gridSpan w:val="5"/>
          </w:tcPr>
          <w:p w:rsidR="00526E39" w:rsidRPr="009255B7" w:rsidRDefault="00526E39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- Муниципальный совет ЯМР</w:t>
            </w:r>
          </w:p>
        </w:tc>
        <w:tc>
          <w:tcPr>
            <w:tcW w:w="3973" w:type="dxa"/>
            <w:vAlign w:val="center"/>
          </w:tcPr>
          <w:p w:rsidR="00526E39" w:rsidRPr="009255B7" w:rsidRDefault="00526E39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01-22/99 от 03.06.2019г.</w:t>
            </w:r>
          </w:p>
        </w:tc>
      </w:tr>
      <w:tr w:rsidR="00526E39" w:rsidRPr="009255B7" w:rsidTr="00CF2004">
        <w:tc>
          <w:tcPr>
            <w:tcW w:w="6058" w:type="dxa"/>
            <w:gridSpan w:val="5"/>
          </w:tcPr>
          <w:p w:rsidR="00526E39" w:rsidRPr="009255B7" w:rsidRDefault="00526E39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совет </w:t>
            </w: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Некрасовского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 w:val="restart"/>
            <w:vAlign w:val="center"/>
          </w:tcPr>
          <w:p w:rsidR="00526E39" w:rsidRPr="009255B7" w:rsidRDefault="00526E39" w:rsidP="00526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исх. № 01-22/10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 от 03.06.2019г.</w:t>
            </w:r>
          </w:p>
        </w:tc>
      </w:tr>
      <w:tr w:rsidR="00526E39" w:rsidRPr="00425BC7" w:rsidTr="00CF2004">
        <w:tc>
          <w:tcPr>
            <w:tcW w:w="6058" w:type="dxa"/>
            <w:gridSpan w:val="5"/>
          </w:tcPr>
          <w:p w:rsidR="00526E39" w:rsidRPr="00AF5BCB" w:rsidRDefault="00526E39" w:rsidP="00CF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Pr="00526E3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Некрасовского </w:t>
            </w:r>
            <w:r w:rsidRPr="009255B7">
              <w:rPr>
                <w:rFonts w:ascii="Times New Roman" w:hAnsi="Times New Roman" w:cs="Times New Roman"/>
                <w:sz w:val="24"/>
                <w:szCs w:val="24"/>
              </w:rPr>
              <w:t>СП ЯМР</w:t>
            </w:r>
          </w:p>
        </w:tc>
        <w:tc>
          <w:tcPr>
            <w:tcW w:w="3973" w:type="dxa"/>
            <w:vMerge/>
          </w:tcPr>
          <w:p w:rsidR="00526E39" w:rsidRPr="00AF5BCB" w:rsidRDefault="00526E39" w:rsidP="00CF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775B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5D" w:rsidRDefault="00B2765D" w:rsidP="004110DA">
      <w:pPr>
        <w:spacing w:after="0" w:line="240" w:lineRule="auto"/>
      </w:pPr>
      <w:r>
        <w:separator/>
      </w:r>
    </w:p>
  </w:endnote>
  <w:endnote w:type="continuationSeparator" w:id="1">
    <w:p w:rsidR="00B2765D" w:rsidRDefault="00B2765D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70424D">
        <w:pPr>
          <w:pStyle w:val="aa"/>
          <w:jc w:val="right"/>
        </w:pPr>
        <w:fldSimple w:instr=" PAGE   \* MERGEFORMAT ">
          <w:r w:rsidR="00FC400A">
            <w:rPr>
              <w:noProof/>
            </w:rPr>
            <w:t>9</w:t>
          </w:r>
        </w:fldSimple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5D" w:rsidRDefault="00B2765D" w:rsidP="004110DA">
      <w:pPr>
        <w:spacing w:after="0" w:line="240" w:lineRule="auto"/>
      </w:pPr>
      <w:r>
        <w:separator/>
      </w:r>
    </w:p>
  </w:footnote>
  <w:footnote w:type="continuationSeparator" w:id="1">
    <w:p w:rsidR="00B2765D" w:rsidRDefault="00B2765D" w:rsidP="004110DA">
      <w:pPr>
        <w:spacing w:after="0" w:line="240" w:lineRule="auto"/>
      </w:pPr>
      <w:r>
        <w:continuationSeparator/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547B"/>
    <w:rsid w:val="00217848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909-B789-4026-9037-C24978C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isadicheva</cp:lastModifiedBy>
  <cp:revision>625</cp:revision>
  <cp:lastPrinted>2019-05-13T10:30:00Z</cp:lastPrinted>
  <dcterms:created xsi:type="dcterms:W3CDTF">2019-02-18T10:59:00Z</dcterms:created>
  <dcterms:modified xsi:type="dcterms:W3CDTF">2019-06-04T09:00:00Z</dcterms:modified>
</cp:coreProperties>
</file>